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3"/>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bookmarkStart w:id="34" w:name="_GoBack"/>
      <w:r>
        <w:rPr>
          <w:rFonts w:hint="eastAsia" w:ascii="Arial" w:hAnsi="Arial" w:cs="Arial"/>
          <w:b/>
          <w:color w:val="auto"/>
          <w:sz w:val="24"/>
          <w:szCs w:val="24"/>
          <w:highlight w:val="none"/>
          <w:lang w:val="en-US" w:eastAsia="zh-CN"/>
        </w:rPr>
        <w:t>103</w:t>
      </w:r>
      <w:r>
        <w:rPr>
          <w:rFonts w:hint="default" w:ascii="Arial" w:hAnsi="Arial" w:cs="Arial"/>
          <w:b/>
          <w:color w:val="auto"/>
          <w:sz w:val="24"/>
          <w:szCs w:val="24"/>
          <w:highlight w:val="none"/>
          <w:lang w:val="en-US" w:eastAsia="zh-CN"/>
        </w:rPr>
        <w:t xml:space="preserve">-e </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208681</w:t>
      </w:r>
      <w:r>
        <w:rPr>
          <w:rFonts w:hint="default" w:ascii="Arial" w:hAnsi="Arial" w:cs="Arial"/>
          <w:b/>
          <w:color w:val="auto"/>
          <w:sz w:val="24"/>
          <w:szCs w:val="24"/>
          <w:highlight w:val="none"/>
          <w:lang w:val="en-US" w:eastAsia="zh-CN"/>
        </w:rPr>
        <w:t xml:space="preserve">                                                 </w:t>
      </w:r>
    </w:p>
    <w:p>
      <w:pPr>
        <w:pStyle w:val="13"/>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default" w:ascii="Arial" w:hAnsi="Arial" w:cs="Arial"/>
          <w:b/>
          <w:color w:val="auto"/>
          <w:sz w:val="24"/>
          <w:szCs w:val="24"/>
          <w:highlight w:val="none"/>
          <w:lang w:val="en-US" w:eastAsia="zh-CN"/>
        </w:rPr>
        <w:t xml:space="preserve">May. </w:t>
      </w:r>
      <w:r>
        <w:rPr>
          <w:rFonts w:hint="default" w:ascii="Arial" w:hAnsi="Arial" w:cs="Arial"/>
          <w:b/>
          <w:color w:val="auto"/>
          <w:sz w:val="24"/>
          <w:szCs w:val="24"/>
          <w:highlight w:val="none"/>
          <w:lang w:val="en-US" w:eastAsia="zh-CN"/>
        </w:rPr>
        <w:t>9-</w:t>
      </w:r>
      <w:r>
        <w:rPr>
          <w:rFonts w:hint="default" w:ascii="Arial" w:hAnsi="Arial" w:cs="Arial"/>
          <w:b/>
          <w:color w:val="auto"/>
          <w:sz w:val="24"/>
          <w:szCs w:val="24"/>
          <w:highlight w:val="none"/>
          <w:lang w:val="en-US" w:eastAsia="zh-CN"/>
        </w:rPr>
        <w:t xml:space="preserve">May. </w:t>
      </w:r>
      <w:r>
        <w:rPr>
          <w:rFonts w:hint="default" w:ascii="Arial" w:hAnsi="Arial" w:cs="Arial"/>
          <w:b/>
          <w:color w:val="auto"/>
          <w:sz w:val="24"/>
          <w:szCs w:val="24"/>
          <w:highlight w:val="none"/>
          <w:lang w:val="en-US" w:eastAsia="zh-CN"/>
        </w:rPr>
        <w:t>2</w:t>
      </w:r>
      <w:r>
        <w:rPr>
          <w:rFonts w:hint="eastAsia" w:ascii="Arial" w:hAnsi="Arial" w:cs="Arial"/>
          <w:b/>
          <w:color w:val="auto"/>
          <w:sz w:val="24"/>
          <w:szCs w:val="24"/>
          <w:highlight w:val="none"/>
          <w:lang w:val="en-US" w:eastAsia="zh-CN"/>
        </w:rPr>
        <w:t>0</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bookmarkEnd w:id="34"/>
    <w:p>
      <w:pPr>
        <w:pStyle w:val="12"/>
        <w:keepNext/>
        <w:keepLines/>
        <w:pageBreakBefore w:val="0"/>
        <w:widowControl w:val="0"/>
        <w:kinsoku/>
        <w:wordWrap/>
        <w:topLinePunct w:val="0"/>
        <w:bidi w:val="0"/>
        <w:spacing w:before="120" w:after="120"/>
        <w:jc w:val="both"/>
        <w:rPr>
          <w:b/>
          <w:i/>
          <w:sz w:val="24"/>
          <w:highlight w:val="none"/>
        </w:rPr>
      </w:pPr>
    </w:p>
    <w:p>
      <w:pPr>
        <w:keepNext/>
        <w:keepLines/>
        <w:pageBreakBefore w:val="0"/>
        <w:widowControl w:val="0"/>
        <w:tabs>
          <w:tab w:val="left" w:pos="1985"/>
        </w:tabs>
        <w:kinsoku/>
        <w:wordWrap/>
        <w:topLinePunct w:val="0"/>
        <w:bidi w:val="0"/>
        <w:spacing w:before="120" w:after="120"/>
        <w:ind w:left="1980" w:hanging="1980"/>
        <w:rPr>
          <w:rFonts w:ascii="Arial" w:hAnsi="Arial"/>
          <w:b/>
          <w:sz w:val="24"/>
          <w:highlight w:val="none"/>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pt-BR"/>
        </w:rPr>
        <w:t xml:space="preserve">Discussion on improvement </w:t>
      </w:r>
      <w:r>
        <w:rPr>
          <w:rFonts w:hint="eastAsia" w:ascii="Arial" w:hAnsi="Arial"/>
          <w:b/>
          <w:sz w:val="24"/>
          <w:highlight w:val="none"/>
          <w:lang w:val="en-US" w:eastAsia="zh-CN"/>
        </w:rPr>
        <w:t xml:space="preserve">on </w:t>
      </w:r>
      <w:r>
        <w:rPr>
          <w:rFonts w:hint="eastAsia" w:ascii="Arial" w:hAnsi="Arial"/>
          <w:b/>
          <w:sz w:val="24"/>
          <w:highlight w:val="none"/>
          <w:lang w:val="pt-BR"/>
        </w:rPr>
        <w:t>MSD for harmonic and cross-band isolation for NR CA</w:t>
      </w:r>
    </w:p>
    <w:p>
      <w:pPr>
        <w:keepNext/>
        <w:keepLines/>
        <w:pageBreakBefore w:val="0"/>
        <w:widowControl w:val="0"/>
        <w:tabs>
          <w:tab w:val="left" w:pos="1985"/>
        </w:tabs>
        <w:kinsoku/>
        <w:wordWrap/>
        <w:topLinePunct w:val="0"/>
        <w:bidi w:val="0"/>
        <w:spacing w:before="120" w:after="120"/>
        <w:rPr>
          <w:rStyle w:val="57"/>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7"/>
          <w:rFonts w:hint="eastAsia"/>
          <w:b/>
          <w:highlight w:val="none"/>
        </w:rPr>
        <w:t>ZTE</w:t>
      </w:r>
      <w:r>
        <w:rPr>
          <w:rStyle w:val="57"/>
          <w:rFonts w:hint="eastAsia"/>
          <w:b/>
          <w:highlight w:val="none"/>
          <w:lang w:val="en-US" w:eastAsia="zh-CN"/>
        </w:rPr>
        <w:t xml:space="preserve"> Corporation</w:t>
      </w:r>
    </w:p>
    <w:p>
      <w:pPr>
        <w:keepNext/>
        <w:keepLines/>
        <w:pageBreakBefore w:val="0"/>
        <w:widowControl w:val="0"/>
        <w:tabs>
          <w:tab w:val="left" w:pos="1985"/>
        </w:tabs>
        <w:kinsoku/>
        <w:wordWrap/>
        <w:topLinePunct w:val="0"/>
        <w:bidi w:val="0"/>
        <w:spacing w:before="120" w:after="120"/>
        <w:rPr>
          <w:rStyle w:val="57"/>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cs="Arial"/>
          <w:b/>
          <w:lang w:eastAsia="zh-TW"/>
        </w:rPr>
        <w:t>8.22.2</w:t>
      </w:r>
    </w:p>
    <w:p>
      <w:pPr>
        <w:keepNext/>
        <w:keepLines/>
        <w:pageBreakBefore w:val="0"/>
        <w:widowControl w:val="0"/>
        <w:tabs>
          <w:tab w:val="left" w:pos="1985"/>
        </w:tabs>
        <w:kinsoku/>
        <w:wordWrap/>
        <w:topLinePunct w:val="0"/>
        <w:bidi w:val="0"/>
        <w:spacing w:before="120" w:after="120"/>
        <w:ind w:left="1980" w:hanging="1980"/>
        <w:rPr>
          <w:rStyle w:val="57"/>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lang w:val="en-US" w:eastAsia="zh-CN"/>
        </w:rPr>
      </w:pPr>
      <w:r>
        <w:rPr>
          <w:rFonts w:hint="eastAsia"/>
          <w:bCs/>
          <w:kern w:val="0"/>
          <w:sz w:val="20"/>
          <w:highlight w:val="none"/>
          <w:lang w:val="en-US" w:eastAsia="zh-CN"/>
        </w:rPr>
        <w:t xml:space="preserve">In the past RAN4 meeting, improvement on MSD have been discussed. In terms of the discussions, the intention is to simplify the MSD table by </w:t>
      </w:r>
      <w:r>
        <w:rPr>
          <w:rFonts w:hint="eastAsia"/>
          <w:lang w:eastAsia="zh-TW"/>
        </w:rPr>
        <w:t>reduc</w:t>
      </w:r>
      <w:r>
        <w:rPr>
          <w:rFonts w:hint="eastAsia"/>
          <w:lang w:val="en-US" w:eastAsia="zh-CN"/>
        </w:rPr>
        <w:t>ing</w:t>
      </w:r>
      <w:r>
        <w:rPr>
          <w:rFonts w:hint="eastAsia"/>
          <w:lang w:eastAsia="zh-TW"/>
        </w:rPr>
        <w:t xml:space="preserve"> the </w:t>
      </w:r>
      <w:r>
        <w:rPr>
          <w:lang w:eastAsia="zh-TW"/>
        </w:rPr>
        <w:t>number of the MSD requirements</w:t>
      </w:r>
      <w:r>
        <w:rPr>
          <w:rFonts w:hint="eastAsia"/>
          <w:lang w:eastAsia="zh-TW"/>
        </w:rPr>
        <w:t xml:space="preserve"> in order to </w:t>
      </w:r>
      <w:bookmarkStart w:id="3" w:name="OLE_LINK80"/>
      <w:r>
        <w:rPr>
          <w:rFonts w:hint="eastAsia"/>
          <w:lang w:eastAsia="zh-TW"/>
        </w:rPr>
        <w:t>reduce the test points</w:t>
      </w:r>
      <w:bookmarkEnd w:id="3"/>
      <w:r>
        <w:rPr>
          <w:rFonts w:hint="eastAsia"/>
          <w:lang w:val="en-US" w:eastAsia="zh-CN"/>
        </w:rPr>
        <w:t xml:space="preserve">, due to the MSD table would become wider and </w:t>
      </w:r>
      <w:bookmarkStart w:id="4" w:name="OLE_LINK79"/>
      <w:r>
        <w:rPr>
          <w:rFonts w:hint="eastAsia"/>
          <w:lang w:val="en-US" w:eastAsia="zh-CN"/>
        </w:rPr>
        <w:t xml:space="preserve">complicated when new channel bandwidths are added. </w:t>
      </w:r>
      <w:bookmarkEnd w:id="4"/>
    </w:p>
    <w:p>
      <w:pPr>
        <w:keepNext/>
        <w:keepLines/>
        <w:pageBreakBefore w:val="0"/>
        <w:widowControl w:val="0"/>
        <w:kinsoku/>
        <w:wordWrap/>
        <w:topLinePunct w:val="0"/>
        <w:bidi w:val="0"/>
        <w:rPr>
          <w:rFonts w:hint="eastAsia"/>
          <w:lang w:val="en-US" w:eastAsia="zh-CN"/>
        </w:rPr>
      </w:pPr>
      <w:r>
        <w:rPr>
          <w:rFonts w:hint="eastAsia"/>
          <w:lang w:val="en-US" w:eastAsia="zh-CN"/>
        </w:rPr>
        <w:t xml:space="preserve">There were mainly two approaches discussed in the past meeting, one is equation-based approaches, and the other one is to </w:t>
      </w:r>
      <w:bookmarkStart w:id="5" w:name="OLE_LINK81"/>
      <w:r>
        <w:rPr>
          <w:rFonts w:hint="eastAsia"/>
          <w:lang w:eastAsia="zh-TW"/>
        </w:rPr>
        <w:t>reduce the test points</w:t>
      </w:r>
      <w:bookmarkEnd w:id="5"/>
      <w:r>
        <w:rPr>
          <w:rFonts w:hint="eastAsia"/>
          <w:lang w:val="en-US" w:eastAsia="zh-CN"/>
        </w:rPr>
        <w:t xml:space="preserve">. For the latter, it </w:t>
      </w:r>
      <w:r>
        <w:rPr>
          <w:rFonts w:hint="eastAsia"/>
          <w:lang w:eastAsia="zh-TW"/>
        </w:rPr>
        <w:t>was not agreed by all companies.</w:t>
      </w:r>
      <w:r>
        <w:rPr>
          <w:rFonts w:hint="eastAsia"/>
          <w:lang w:val="en-US" w:eastAsia="zh-CN"/>
        </w:rPr>
        <w:t xml:space="preserve"> Consequently, </w:t>
      </w:r>
      <w:bookmarkStart w:id="6" w:name="OLE_LINK82"/>
      <w:r>
        <w:rPr>
          <w:rFonts w:hint="eastAsia"/>
          <w:lang w:eastAsia="zh-TW"/>
        </w:rPr>
        <w:t>reduce the test points</w:t>
      </w:r>
      <w:r>
        <w:rPr>
          <w:rFonts w:hint="eastAsia"/>
          <w:lang w:val="en-US" w:eastAsia="zh-CN"/>
        </w:rPr>
        <w:t xml:space="preserve"> approach was proceed to forward.</w:t>
      </w:r>
    </w:p>
    <w:p>
      <w:pPr>
        <w:keepNext/>
        <w:keepLines/>
        <w:pageBreakBefore w:val="0"/>
        <w:widowControl w:val="0"/>
        <w:kinsoku/>
        <w:wordWrap/>
        <w:topLinePunct w:val="0"/>
        <w:bidi w:val="0"/>
        <w:rPr>
          <w:rFonts w:hint="eastAsia"/>
          <w:lang w:val="en-US" w:eastAsia="zh-CN"/>
        </w:rPr>
      </w:pPr>
      <w:r>
        <w:rPr>
          <w:rFonts w:hint="eastAsia"/>
          <w:lang w:val="en-US" w:eastAsia="zh-CN"/>
        </w:rPr>
        <w:t xml:space="preserve">Some agreements on the reduciton of MSD test point </w:t>
      </w:r>
      <w:r>
        <w:rPr>
          <w:rFonts w:hint="eastAsia"/>
          <w:lang w:eastAsia="zh-TW"/>
        </w:rPr>
        <w:t>of harmonic and cross-band isolation</w:t>
      </w:r>
      <w:r>
        <w:rPr>
          <w:rFonts w:hint="eastAsia"/>
          <w:lang w:val="en-US" w:eastAsia="zh-CN"/>
        </w:rPr>
        <w:t xml:space="preserve"> have been approved in [1][2], where:</w:t>
      </w:r>
    </w:p>
    <w:p>
      <w:pPr>
        <w:keepNext/>
        <w:keepLines/>
        <w:pageBreakBefore w:val="0"/>
        <w:widowControl w:val="0"/>
        <w:kinsoku/>
        <w:wordWrap/>
        <w:topLinePunct w:val="0"/>
        <w:bidi w:val="0"/>
        <w:rPr>
          <w:rFonts w:hint="eastAsia"/>
          <w:lang w:val="en-US" w:eastAsia="zh-CN"/>
        </w:rPr>
      </w:pPr>
      <w:r>
        <w:rPr>
          <w:rFonts w:hint="eastAsia"/>
          <w:lang w:val="en-US" w:eastAsia="zh-CN"/>
        </w:rPr>
        <w:t xml:space="preserve">- for the test points number resctrition </w:t>
      </w:r>
      <w:r>
        <w:rPr>
          <w:rFonts w:hint="eastAsia"/>
          <w:lang w:val="en-US" w:eastAsia="ko-KR"/>
        </w:rPr>
        <w:t>for a given MSD type and a given band combination</w:t>
      </w:r>
      <w:r>
        <w:rPr>
          <w:rFonts w:hint="eastAsia"/>
          <w:lang w:val="en-US" w:eastAsia="zh-CN"/>
        </w:rPr>
        <w:t>, Option 4 was approved, shown as follow:</w:t>
      </w:r>
    </w:p>
    <w:p>
      <w:pPr>
        <w:pStyle w:val="30"/>
        <w:keepNext/>
        <w:keepLines/>
        <w:pageBreakBefore w:val="0"/>
        <w:widowControl w:val="0"/>
        <w:numPr>
          <w:ilvl w:val="1"/>
          <w:numId w:val="7"/>
        </w:numPr>
        <w:kinsoku/>
        <w:wordWrap/>
        <w:overflowPunct/>
        <w:topLinePunct w:val="0"/>
        <w:autoSpaceDE/>
        <w:autoSpaceDN/>
        <w:bidi w:val="0"/>
        <w:adjustRightInd/>
        <w:spacing w:after="120" w:line="259" w:lineRule="auto"/>
        <w:ind w:left="1440" w:firstLineChars="0"/>
        <w:textAlignment w:val="auto"/>
        <w:rPr>
          <w:rFonts w:eastAsia="宋体"/>
          <w:color w:val="0070C0"/>
          <w:sz w:val="20"/>
          <w:szCs w:val="20"/>
          <w:highlight w:val="green"/>
          <w:lang w:eastAsia="zh-CN"/>
        </w:rPr>
      </w:pPr>
      <w:r>
        <w:rPr>
          <w:rFonts w:eastAsia="宋体"/>
          <w:color w:val="0070C0"/>
          <w:sz w:val="20"/>
          <w:szCs w:val="20"/>
          <w:highlight w:val="green"/>
          <w:lang w:eastAsia="zh-CN"/>
        </w:rPr>
        <w:t>Option 4: When considering MSD table improvement, for a given band combination:</w:t>
      </w:r>
    </w:p>
    <w:p>
      <w:pPr>
        <w:pStyle w:val="30"/>
        <w:keepNext/>
        <w:keepLines/>
        <w:pageBreakBefore w:val="0"/>
        <w:widowControl w:val="0"/>
        <w:numPr>
          <w:ilvl w:val="2"/>
          <w:numId w:val="7"/>
        </w:numPr>
        <w:kinsoku/>
        <w:wordWrap/>
        <w:overflowPunct/>
        <w:topLinePunct w:val="0"/>
        <w:autoSpaceDE/>
        <w:autoSpaceDN/>
        <w:bidi w:val="0"/>
        <w:adjustRightInd/>
        <w:spacing w:after="120" w:line="259" w:lineRule="auto"/>
        <w:ind w:firstLineChars="0"/>
        <w:textAlignment w:val="auto"/>
        <w:rPr>
          <w:rFonts w:eastAsia="宋体"/>
          <w:color w:val="0070C0"/>
          <w:sz w:val="20"/>
          <w:szCs w:val="20"/>
          <w:highlight w:val="green"/>
          <w:lang w:eastAsia="zh-CN"/>
        </w:rPr>
      </w:pPr>
      <w:r>
        <w:rPr>
          <w:rFonts w:eastAsia="宋体"/>
          <w:color w:val="0070C0"/>
          <w:sz w:val="20"/>
          <w:szCs w:val="20"/>
          <w:highlight w:val="green"/>
          <w:lang w:eastAsia="zh-CN"/>
        </w:rPr>
        <w:t>two MSD test points for the case of direct-hit harmonic interference can be considered,</w:t>
      </w:r>
    </w:p>
    <w:p>
      <w:pPr>
        <w:pStyle w:val="30"/>
        <w:keepNext/>
        <w:keepLines/>
        <w:pageBreakBefore w:val="0"/>
        <w:widowControl w:val="0"/>
        <w:numPr>
          <w:ilvl w:val="2"/>
          <w:numId w:val="7"/>
        </w:numPr>
        <w:kinsoku/>
        <w:wordWrap/>
        <w:overflowPunct/>
        <w:topLinePunct w:val="0"/>
        <w:autoSpaceDE/>
        <w:autoSpaceDN/>
        <w:bidi w:val="0"/>
        <w:adjustRightInd/>
        <w:spacing w:after="120" w:line="259" w:lineRule="auto"/>
        <w:ind w:firstLineChars="0"/>
        <w:textAlignment w:val="auto"/>
        <w:rPr>
          <w:rFonts w:eastAsia="宋体"/>
          <w:color w:val="0070C0"/>
          <w:sz w:val="20"/>
          <w:szCs w:val="20"/>
          <w:highlight w:val="green"/>
          <w:lang w:eastAsia="zh-CN"/>
        </w:rPr>
      </w:pPr>
      <w:r>
        <w:rPr>
          <w:rFonts w:eastAsia="宋体"/>
          <w:color w:val="0070C0"/>
          <w:sz w:val="20"/>
          <w:szCs w:val="20"/>
          <w:highlight w:val="green"/>
          <w:lang w:eastAsia="zh-CN"/>
        </w:rPr>
        <w:t>two MSD test points for cross-band isolation interference can be considered,</w:t>
      </w:r>
    </w:p>
    <w:p>
      <w:pPr>
        <w:pStyle w:val="30"/>
        <w:keepNext/>
        <w:keepLines/>
        <w:pageBreakBefore w:val="0"/>
        <w:widowControl w:val="0"/>
        <w:numPr>
          <w:ilvl w:val="2"/>
          <w:numId w:val="7"/>
        </w:numPr>
        <w:kinsoku/>
        <w:wordWrap/>
        <w:overflowPunct/>
        <w:topLinePunct w:val="0"/>
        <w:autoSpaceDE/>
        <w:autoSpaceDN/>
        <w:bidi w:val="0"/>
        <w:adjustRightInd/>
        <w:spacing w:after="120" w:line="259" w:lineRule="auto"/>
        <w:ind w:firstLineChars="0"/>
        <w:textAlignment w:val="auto"/>
        <w:rPr>
          <w:rFonts w:eastAsia="宋体"/>
          <w:color w:val="0070C0"/>
          <w:sz w:val="20"/>
          <w:szCs w:val="20"/>
          <w:highlight w:val="green"/>
          <w:lang w:eastAsia="zh-CN"/>
        </w:rPr>
      </w:pPr>
      <w:r>
        <w:rPr>
          <w:rFonts w:eastAsia="宋体"/>
          <w:color w:val="0070C0"/>
          <w:sz w:val="20"/>
          <w:szCs w:val="20"/>
          <w:highlight w:val="green"/>
          <w:lang w:eastAsia="zh-CN"/>
        </w:rPr>
        <w:t>one MSD test point for the case of near-miss harmonic interference can be considered.</w:t>
      </w:r>
    </w:p>
    <w:p>
      <w:pPr>
        <w:keepNext/>
        <w:keepLines/>
        <w:pageBreakBefore w:val="0"/>
        <w:widowControl w:val="0"/>
        <w:kinsoku/>
        <w:wordWrap/>
        <w:overflowPunct/>
        <w:topLinePunct w:val="0"/>
        <w:autoSpaceDE/>
        <w:autoSpaceDN/>
        <w:bidi w:val="0"/>
        <w:adjustRightInd/>
        <w:spacing w:after="120" w:line="259" w:lineRule="auto"/>
        <w:ind w:left="2016"/>
        <w:textAlignment w:val="auto"/>
        <w:rPr>
          <w:rFonts w:eastAsia="宋体"/>
          <w:color w:val="0070C0"/>
          <w:sz w:val="20"/>
          <w:szCs w:val="20"/>
          <w:highlight w:val="green"/>
          <w:lang w:eastAsia="zh-CN"/>
        </w:rPr>
      </w:pPr>
      <w:r>
        <w:rPr>
          <w:rFonts w:hint="eastAsia" w:eastAsia="宋体"/>
          <w:color w:val="0070C0"/>
          <w:sz w:val="20"/>
          <w:szCs w:val="20"/>
          <w:highlight w:val="green"/>
          <w:lang w:eastAsia="zh-CN"/>
        </w:rPr>
        <w:t>Note:</w:t>
      </w:r>
      <w:r>
        <w:rPr>
          <w:rFonts w:eastAsia="宋体"/>
          <w:color w:val="0070C0"/>
          <w:sz w:val="20"/>
          <w:szCs w:val="20"/>
          <w:highlight w:val="green"/>
          <w:lang w:eastAsia="zh-CN"/>
        </w:rPr>
        <w:t xml:space="preserve"> For the case when 2 MSD test points can be considered at least, one test point is specified for the </w:t>
      </w:r>
      <w:bookmarkStart w:id="7" w:name="OLE_LINK8"/>
      <w:r>
        <w:rPr>
          <w:rFonts w:eastAsia="宋体"/>
          <w:color w:val="0070C0"/>
          <w:sz w:val="20"/>
          <w:szCs w:val="20"/>
          <w:highlight w:val="green"/>
          <w:lang w:eastAsia="zh-CN"/>
        </w:rPr>
        <w:t xml:space="preserve">minimum </w:t>
      </w:r>
      <w:bookmarkEnd w:id="7"/>
      <w:bookmarkStart w:id="8" w:name="OLE_LINK7"/>
      <w:r>
        <w:rPr>
          <w:rFonts w:eastAsia="宋体"/>
          <w:color w:val="0070C0"/>
          <w:sz w:val="20"/>
          <w:szCs w:val="20"/>
          <w:highlight w:val="green"/>
          <w:lang w:eastAsia="zh-CN"/>
        </w:rPr>
        <w:t>victim downlink channel bandwidth.</w:t>
      </w:r>
    </w:p>
    <w:bookmarkEnd w:id="8"/>
    <w:p>
      <w:pPr>
        <w:keepNext/>
        <w:keepLines/>
        <w:pageBreakBefore w:val="0"/>
        <w:widowControl w:val="0"/>
        <w:kinsoku/>
        <w:wordWrap/>
        <w:overflowPunct/>
        <w:topLinePunct w:val="0"/>
        <w:autoSpaceDE/>
        <w:autoSpaceDN/>
        <w:bidi w:val="0"/>
        <w:adjustRightInd/>
        <w:spacing w:after="120" w:line="259" w:lineRule="auto"/>
        <w:ind w:left="2016"/>
        <w:textAlignment w:val="auto"/>
        <w:rPr>
          <w:rFonts w:eastAsia="宋体"/>
          <w:color w:val="0070C0"/>
          <w:sz w:val="20"/>
          <w:szCs w:val="20"/>
          <w:highlight w:val="green"/>
          <w:lang w:eastAsia="zh-CN"/>
        </w:rPr>
      </w:pPr>
      <w:r>
        <w:rPr>
          <w:rFonts w:eastAsia="宋体"/>
          <w:color w:val="0070C0"/>
          <w:sz w:val="20"/>
          <w:szCs w:val="20"/>
          <w:highlight w:val="green"/>
          <w:lang w:eastAsia="zh-CN"/>
        </w:rPr>
        <w:t>Companies are encouraged to bring proposals on criteria</w:t>
      </w:r>
    </w:p>
    <w:p>
      <w:pPr>
        <w:keepNext/>
        <w:keepLines/>
        <w:pageBreakBefore w:val="0"/>
        <w:widowControl w:val="0"/>
        <w:kinsoku/>
        <w:wordWrap/>
        <w:overflowPunct/>
        <w:topLinePunct w:val="0"/>
        <w:autoSpaceDE/>
        <w:autoSpaceDN/>
        <w:bidi w:val="0"/>
        <w:adjustRightInd/>
        <w:spacing w:after="120" w:line="259" w:lineRule="auto"/>
        <w:ind w:left="2016"/>
        <w:textAlignment w:val="auto"/>
        <w:rPr>
          <w:rFonts w:eastAsia="宋体"/>
          <w:color w:val="0070C0"/>
          <w:sz w:val="20"/>
          <w:szCs w:val="20"/>
          <w:highlight w:val="green"/>
          <w:lang w:eastAsia="zh-CN"/>
        </w:rPr>
      </w:pPr>
      <w:r>
        <w:rPr>
          <w:rFonts w:eastAsia="宋体"/>
          <w:color w:val="0070C0"/>
          <w:sz w:val="20"/>
          <w:szCs w:val="20"/>
          <w:highlight w:val="green"/>
          <w:lang w:eastAsia="zh-CN"/>
        </w:rPr>
        <w:t>1)</w:t>
      </w:r>
      <w:r>
        <w:rPr>
          <w:rFonts w:eastAsia="宋体"/>
          <w:color w:val="0070C0"/>
          <w:sz w:val="20"/>
          <w:szCs w:val="20"/>
          <w:highlight w:val="green"/>
          <w:lang w:eastAsia="zh-CN"/>
        </w:rPr>
        <w:tab/>
      </w:r>
      <w:r>
        <w:rPr>
          <w:rFonts w:eastAsia="宋体"/>
          <w:color w:val="0070C0"/>
          <w:sz w:val="20"/>
          <w:szCs w:val="20"/>
          <w:highlight w:val="green"/>
          <w:lang w:eastAsia="zh-CN"/>
        </w:rPr>
        <w:t xml:space="preserve"> how to select the </w:t>
      </w:r>
      <w:bookmarkStart w:id="9" w:name="OLE_LINK3"/>
      <w:r>
        <w:rPr>
          <w:rFonts w:eastAsia="宋体"/>
          <w:color w:val="0070C0"/>
          <w:sz w:val="20"/>
          <w:szCs w:val="20"/>
          <w:highlight w:val="green"/>
          <w:lang w:eastAsia="zh-CN"/>
        </w:rPr>
        <w:t>second MSD test point</w:t>
      </w:r>
      <w:bookmarkEnd w:id="9"/>
      <w:r>
        <w:rPr>
          <w:rFonts w:eastAsia="宋体"/>
          <w:color w:val="0070C0"/>
          <w:sz w:val="20"/>
          <w:szCs w:val="20"/>
          <w:highlight w:val="green"/>
          <w:lang w:eastAsia="zh-CN"/>
        </w:rPr>
        <w:t xml:space="preserve"> (is it based on maximum DL CBW? based on MSD level? other?); and,</w:t>
      </w:r>
    </w:p>
    <w:p>
      <w:pPr>
        <w:keepNext/>
        <w:keepLines/>
        <w:pageBreakBefore w:val="0"/>
        <w:widowControl w:val="0"/>
        <w:kinsoku/>
        <w:wordWrap/>
        <w:overflowPunct/>
        <w:topLinePunct w:val="0"/>
        <w:autoSpaceDE/>
        <w:autoSpaceDN/>
        <w:bidi w:val="0"/>
        <w:adjustRightInd/>
        <w:spacing w:after="120" w:line="259" w:lineRule="auto"/>
        <w:ind w:left="2016"/>
        <w:textAlignment w:val="auto"/>
        <w:rPr>
          <w:rFonts w:eastAsia="宋体"/>
          <w:color w:val="0070C0"/>
          <w:sz w:val="20"/>
          <w:szCs w:val="20"/>
          <w:highlight w:val="green"/>
          <w:lang w:eastAsia="zh-CN"/>
        </w:rPr>
      </w:pPr>
      <w:r>
        <w:rPr>
          <w:rFonts w:eastAsia="宋体"/>
          <w:color w:val="0070C0"/>
          <w:sz w:val="20"/>
          <w:szCs w:val="20"/>
          <w:highlight w:val="green"/>
          <w:lang w:eastAsia="zh-CN"/>
        </w:rPr>
        <w:t>2)</w:t>
      </w:r>
      <w:r>
        <w:rPr>
          <w:rFonts w:eastAsia="宋体"/>
          <w:color w:val="0070C0"/>
          <w:sz w:val="20"/>
          <w:szCs w:val="20"/>
          <w:highlight w:val="green"/>
          <w:lang w:eastAsia="zh-CN"/>
        </w:rPr>
        <w:tab/>
      </w:r>
      <w:r>
        <w:rPr>
          <w:rFonts w:eastAsia="宋体"/>
          <w:color w:val="0070C0"/>
          <w:sz w:val="20"/>
          <w:szCs w:val="20"/>
          <w:highlight w:val="green"/>
          <w:lang w:eastAsia="zh-CN"/>
        </w:rPr>
        <w:t xml:space="preserve"> how to capture the test point in the new table format in case new “lowest” or new “highest” CBW are introduced in the future.</w:t>
      </w:r>
    </w:p>
    <w:p>
      <w:pPr>
        <w:keepNext/>
        <w:keepLines/>
        <w:pageBreakBefore w:val="0"/>
        <w:widowControl w:val="0"/>
        <w:kinsoku/>
        <w:wordWrap/>
        <w:overflowPunct/>
        <w:topLinePunct w:val="0"/>
        <w:autoSpaceDE/>
        <w:autoSpaceDN/>
        <w:bidi w:val="0"/>
        <w:adjustRightInd/>
        <w:spacing w:after="120" w:line="259" w:lineRule="auto"/>
        <w:ind w:left="2016"/>
        <w:textAlignment w:val="auto"/>
        <w:rPr>
          <w:rFonts w:eastAsia="宋体"/>
          <w:color w:val="0070C0"/>
          <w:sz w:val="20"/>
          <w:szCs w:val="20"/>
          <w:lang w:eastAsia="zh-CN"/>
        </w:rPr>
      </w:pPr>
      <w:r>
        <w:rPr>
          <w:rFonts w:eastAsia="宋体"/>
          <w:color w:val="0070C0"/>
          <w:sz w:val="20"/>
          <w:szCs w:val="20"/>
          <w:highlight w:val="green"/>
          <w:lang w:eastAsia="zh-CN"/>
        </w:rPr>
        <w:t>3)</w:t>
      </w:r>
      <w:r>
        <w:rPr>
          <w:rFonts w:eastAsia="宋体"/>
          <w:color w:val="0070C0"/>
          <w:sz w:val="20"/>
          <w:szCs w:val="20"/>
          <w:highlight w:val="green"/>
          <w:lang w:eastAsia="zh-CN"/>
        </w:rPr>
        <w:tab/>
      </w:r>
      <w:r>
        <w:rPr>
          <w:rFonts w:eastAsia="宋体"/>
          <w:color w:val="0070C0"/>
          <w:sz w:val="20"/>
          <w:szCs w:val="20"/>
          <w:highlight w:val="green"/>
          <w:lang w:eastAsia="zh-CN"/>
        </w:rPr>
        <w:t>Other options are not precluded, including if 2 test points are needed for near miss harmonic MSD.</w:t>
      </w:r>
    </w:p>
    <w:p>
      <w:pPr>
        <w:keepNext/>
        <w:keepLines/>
        <w:pageBreakBefore w:val="0"/>
        <w:widowControl w:val="0"/>
        <w:kinsoku/>
        <w:wordWrap/>
        <w:topLinePunct w:val="0"/>
        <w:bidi w:val="0"/>
        <w:rPr>
          <w:b/>
          <w:color w:val="0070C0"/>
          <w:lang w:eastAsia="ko-KR"/>
        </w:rPr>
      </w:pPr>
      <w:r>
        <w:rPr>
          <w:rFonts w:hint="eastAsia"/>
          <w:lang w:val="en-US" w:eastAsia="zh-CN"/>
        </w:rPr>
        <w:t>-for t</w:t>
      </w:r>
      <w:r>
        <w:rPr>
          <w:rFonts w:hint="eastAsia"/>
          <w:lang w:val="en-US" w:eastAsia="ko-KR"/>
        </w:rPr>
        <w:t xml:space="preserve">he general table format for MSD due to cross band isolation is </w:t>
      </w:r>
      <w:r>
        <w:rPr>
          <w:rFonts w:hint="eastAsia"/>
          <w:lang w:val="en-US" w:eastAsia="zh-CN"/>
        </w:rPr>
        <w:t xml:space="preserve">agreed </w:t>
      </w:r>
      <w:r>
        <w:rPr>
          <w:rFonts w:hint="eastAsia"/>
          <w:lang w:val="en-US" w:eastAsia="ko-KR"/>
        </w:rPr>
        <w:t>as below</w:t>
      </w:r>
      <w:r>
        <w:rPr>
          <w:rFonts w:hint="eastAsia"/>
          <w:lang w:val="en-US" w:eastAsia="zh-CN"/>
        </w:rPr>
        <w:t xml:space="preserve">, which is the </w:t>
      </w:r>
      <w:r>
        <w:rPr>
          <w:rFonts w:hint="eastAsia"/>
          <w:lang w:val="en-US" w:eastAsia="ko-KR"/>
        </w:rPr>
        <w:t>previous agreement in R4-2202287.</w:t>
      </w:r>
    </w:p>
    <w:p>
      <w:pPr>
        <w:keepNext/>
        <w:keepLines/>
        <w:pageBreakBefore w:val="0"/>
        <w:widowControl w:val="0"/>
        <w:kinsoku/>
        <w:wordWrap/>
        <w:topLinePunct w:val="0"/>
        <w:bidi w:val="0"/>
        <w:rPr>
          <w:rFonts w:eastAsia="宋体"/>
          <w:color w:val="0070C0"/>
          <w:szCs w:val="24"/>
          <w:highlight w:val="green"/>
          <w:lang w:eastAsia="zh-CN"/>
        </w:rPr>
      </w:pPr>
      <w:r>
        <w:rPr>
          <w:rFonts w:eastAsia="宋体"/>
          <w:color w:val="0070C0"/>
          <w:szCs w:val="24"/>
          <w:highlight w:val="green"/>
          <w:lang w:eastAsia="zh-CN"/>
        </w:rPr>
        <w:t>Option 1:</w:t>
      </w:r>
    </w:p>
    <w:tbl>
      <w:tblPr>
        <w:tblStyle w:val="20"/>
        <w:tblW w:w="0" w:type="auto"/>
        <w:jc w:val="center"/>
        <w:tblLayout w:type="autofit"/>
        <w:tblCellMar>
          <w:top w:w="0" w:type="dxa"/>
          <w:left w:w="108" w:type="dxa"/>
          <w:bottom w:w="0" w:type="dxa"/>
          <w:right w:w="108" w:type="dxa"/>
        </w:tblCellMar>
      </w:tblPr>
      <w:tblGrid>
        <w:gridCol w:w="933"/>
        <w:gridCol w:w="933"/>
        <w:gridCol w:w="767"/>
        <w:gridCol w:w="803"/>
        <w:gridCol w:w="1573"/>
        <w:gridCol w:w="1677"/>
        <w:gridCol w:w="767"/>
        <w:gridCol w:w="803"/>
        <w:gridCol w:w="616"/>
        <w:gridCol w:w="2537"/>
      </w:tblGrid>
      <w:tr>
        <w:tblPrEx>
          <w:tblCellMar>
            <w:top w:w="0" w:type="dxa"/>
            <w:left w:w="108" w:type="dxa"/>
            <w:bottom w:w="0" w:type="dxa"/>
            <w:right w:w="108" w:type="dxa"/>
          </w:tblCellMar>
        </w:tblPrEx>
        <w:trPr>
          <w:trHeight w:val="732" w:hRule="atLeast"/>
          <w:jc w:val="center"/>
        </w:trPr>
        <w:tc>
          <w:tcPr>
            <w:tcW w:w="0" w:type="auto"/>
            <w:vMerge w:val="restart"/>
            <w:tcBorders>
              <w:top w:val="single" w:color="auto" w:sz="8" w:space="0"/>
              <w:left w:val="single" w:color="auto" w:sz="8" w:space="0"/>
              <w:bottom w:val="single" w:color="000000" w:sz="8" w:space="0"/>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band</w:t>
            </w:r>
          </w:p>
        </w:tc>
        <w:tc>
          <w:tcPr>
            <w:tcW w:w="0" w:type="auto"/>
            <w:vMerge w:val="restart"/>
            <w:tcBorders>
              <w:top w:val="single" w:color="auto" w:sz="8" w:space="0"/>
              <w:left w:val="single" w:color="auto" w:sz="8" w:space="0"/>
              <w:bottom w:val="single" w:color="000000" w:sz="8" w:space="0"/>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DL band</w:t>
            </w:r>
          </w:p>
        </w:tc>
        <w:tc>
          <w:tcPr>
            <w:tcW w:w="0" w:type="auto"/>
            <w:tcBorders>
              <w:top w:val="single" w:color="auto" w:sz="8" w:space="0"/>
              <w:left w:val="nil"/>
              <w:bottom w:val="nil"/>
              <w:right w:val="single" w:color="auto" w:sz="8"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F</w:t>
            </w:r>
            <w:r>
              <w:rPr>
                <w:rFonts w:ascii="Arial" w:hAnsi="Arial" w:cs="Arial"/>
                <w:b/>
                <w:bCs/>
                <w:color w:val="000000"/>
                <w:sz w:val="18"/>
                <w:szCs w:val="18"/>
                <w:highlight w:val="green"/>
                <w:vertAlign w:val="subscript"/>
              </w:rPr>
              <w:t>c</w:t>
            </w:r>
          </w:p>
        </w:tc>
        <w:tc>
          <w:tcPr>
            <w:tcW w:w="0" w:type="auto"/>
            <w:tcBorders>
              <w:top w:val="single" w:color="auto" w:sz="8" w:space="0"/>
              <w:left w:val="nil"/>
              <w:bottom w:val="nil"/>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BW</w:t>
            </w:r>
          </w:p>
        </w:tc>
        <w:tc>
          <w:tcPr>
            <w:tcW w:w="0" w:type="auto"/>
            <w:tcBorders>
              <w:top w:val="single" w:color="auto" w:sz="4" w:space="0"/>
              <w:left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eastAsiaTheme="minorEastAsia"/>
                <w:b/>
                <w:bCs/>
                <w:color w:val="000000"/>
                <w:sz w:val="18"/>
                <w:szCs w:val="18"/>
                <w:highlight w:val="green"/>
                <w:lang w:eastAsia="zh-CN"/>
              </w:rPr>
            </w:pPr>
            <w:r>
              <w:rPr>
                <w:rFonts w:hint="eastAsia" w:ascii="Arial" w:hAnsi="Arial" w:cs="Arial" w:eastAsiaTheme="minorEastAsia"/>
                <w:b/>
                <w:bCs/>
                <w:color w:val="000000"/>
                <w:sz w:val="18"/>
                <w:szCs w:val="18"/>
                <w:highlight w:val="green"/>
                <w:lang w:eastAsia="zh-CN"/>
              </w:rPr>
              <w:t>S</w:t>
            </w:r>
            <w:r>
              <w:rPr>
                <w:rFonts w:ascii="Arial" w:hAnsi="Arial" w:cs="Arial" w:eastAsiaTheme="minorEastAsia"/>
                <w:b/>
                <w:bCs/>
                <w:color w:val="000000"/>
                <w:sz w:val="18"/>
                <w:szCs w:val="18"/>
                <w:highlight w:val="green"/>
                <w:lang w:eastAsia="zh-CN"/>
              </w:rPr>
              <w:t>CS of UL band</w:t>
            </w:r>
          </w:p>
        </w:tc>
        <w:tc>
          <w:tcPr>
            <w:tcW w:w="0" w:type="auto"/>
            <w:tcBorders>
              <w:top w:val="single" w:color="auto" w:sz="8" w:space="0"/>
              <w:left w:val="single" w:color="auto" w:sz="4" w:space="0"/>
              <w:bottom w:val="nil"/>
              <w:right w:val="single" w:color="auto" w:sz="8"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UL RB Allocation</w:t>
            </w:r>
          </w:p>
        </w:tc>
        <w:tc>
          <w:tcPr>
            <w:tcW w:w="0" w:type="auto"/>
            <w:tcBorders>
              <w:top w:val="single" w:color="auto" w:sz="8" w:space="0"/>
              <w:left w:val="single" w:color="auto" w:sz="8" w:space="0"/>
              <w:bottom w:val="nil"/>
              <w:right w:val="single" w:color="auto" w:sz="8"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DL F</w:t>
            </w:r>
            <w:r>
              <w:rPr>
                <w:rFonts w:ascii="Arial" w:hAnsi="Arial" w:cs="Arial"/>
                <w:b/>
                <w:bCs/>
                <w:color w:val="000000"/>
                <w:sz w:val="18"/>
                <w:szCs w:val="18"/>
                <w:highlight w:val="green"/>
                <w:vertAlign w:val="subscript"/>
              </w:rPr>
              <w:t>c</w:t>
            </w:r>
          </w:p>
        </w:tc>
        <w:tc>
          <w:tcPr>
            <w:tcW w:w="0" w:type="auto"/>
            <w:tcBorders>
              <w:top w:val="single" w:color="auto" w:sz="8" w:space="0"/>
              <w:left w:val="nil"/>
              <w:bottom w:val="nil"/>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DL BW</w:t>
            </w:r>
          </w:p>
        </w:tc>
        <w:tc>
          <w:tcPr>
            <w:tcW w:w="0" w:type="auto"/>
            <w:tcBorders>
              <w:top w:val="single" w:color="auto" w:sz="8" w:space="0"/>
              <w:left w:val="nil"/>
              <w:bottom w:val="nil"/>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MSD</w:t>
            </w:r>
          </w:p>
        </w:tc>
        <w:tc>
          <w:tcPr>
            <w:tcW w:w="0" w:type="auto"/>
            <w:vMerge w:val="restart"/>
            <w:tcBorders>
              <w:top w:val="single" w:color="auto" w:sz="8" w:space="0"/>
              <w:left w:val="nil"/>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lang w:eastAsia="zh-CN"/>
              </w:rPr>
            </w:pPr>
            <w:r>
              <w:rPr>
                <w:rFonts w:hint="eastAsia" w:ascii="Arial" w:hAnsi="Arial" w:cs="Arial"/>
                <w:b/>
                <w:bCs/>
                <w:color w:val="000000"/>
                <w:sz w:val="18"/>
                <w:szCs w:val="18"/>
                <w:highlight w:val="green"/>
                <w:lang w:eastAsia="zh-CN"/>
              </w:rPr>
              <w:t>X</w:t>
            </w:r>
            <w:r>
              <w:rPr>
                <w:rFonts w:ascii="Arial" w:hAnsi="Arial" w:cs="Arial"/>
                <w:b/>
                <w:bCs/>
                <w:color w:val="000000"/>
                <w:sz w:val="18"/>
                <w:szCs w:val="18"/>
                <w:highlight w:val="green"/>
                <w:lang w:eastAsia="zh-CN"/>
              </w:rPr>
              <w:t xml:space="preserve"> band interference source</w:t>
            </w:r>
          </w:p>
        </w:tc>
      </w:tr>
      <w:tr>
        <w:tblPrEx>
          <w:tblCellMar>
            <w:top w:w="0" w:type="dxa"/>
            <w:left w:w="108" w:type="dxa"/>
            <w:bottom w:w="0" w:type="dxa"/>
            <w:right w:w="108" w:type="dxa"/>
          </w:tblCellMar>
        </w:tblPrEx>
        <w:trPr>
          <w:trHeight w:val="492" w:hRule="atLeast"/>
          <w:jc w:val="center"/>
        </w:trPr>
        <w:tc>
          <w:tcPr>
            <w:tcW w:w="0" w:type="auto"/>
            <w:vMerge w:val="continue"/>
            <w:tcBorders>
              <w:top w:val="single" w:color="auto" w:sz="8" w:space="0"/>
              <w:left w:val="single" w:color="auto" w:sz="8" w:space="0"/>
              <w:bottom w:val="single" w:color="auto" w:sz="4" w:space="0"/>
              <w:right w:val="single" w:color="auto" w:sz="8" w:space="0"/>
            </w:tcBorders>
            <w:vAlign w:val="center"/>
          </w:tcPr>
          <w:p>
            <w:pPr>
              <w:keepNext/>
              <w:keepLines/>
              <w:pageBreakBefore w:val="0"/>
              <w:widowControl w:val="0"/>
              <w:kinsoku/>
              <w:wordWrap/>
              <w:topLinePunct w:val="0"/>
              <w:bidi w:val="0"/>
              <w:spacing w:after="0"/>
              <w:rPr>
                <w:rFonts w:ascii="Arial" w:hAnsi="Arial" w:cs="Arial"/>
                <w:b/>
                <w:bCs/>
                <w:color w:val="000000"/>
                <w:sz w:val="18"/>
                <w:szCs w:val="18"/>
                <w:highlight w:val="green"/>
              </w:rPr>
            </w:pPr>
          </w:p>
        </w:tc>
        <w:tc>
          <w:tcPr>
            <w:tcW w:w="0" w:type="auto"/>
            <w:vMerge w:val="continue"/>
            <w:tcBorders>
              <w:top w:val="single" w:color="auto" w:sz="8" w:space="0"/>
              <w:left w:val="single" w:color="auto" w:sz="8" w:space="0"/>
              <w:bottom w:val="single" w:color="auto" w:sz="4" w:space="0"/>
              <w:right w:val="single" w:color="auto" w:sz="8" w:space="0"/>
            </w:tcBorders>
            <w:vAlign w:val="center"/>
          </w:tcPr>
          <w:p>
            <w:pPr>
              <w:keepNext/>
              <w:keepLines/>
              <w:pageBreakBefore w:val="0"/>
              <w:widowControl w:val="0"/>
              <w:kinsoku/>
              <w:wordWrap/>
              <w:topLinePunct w:val="0"/>
              <w:bidi w:val="0"/>
              <w:spacing w:after="0"/>
              <w:rPr>
                <w:rFonts w:ascii="Arial" w:hAnsi="Arial" w:cs="Arial"/>
                <w:b/>
                <w:bCs/>
                <w:color w:val="000000"/>
                <w:sz w:val="18"/>
                <w:szCs w:val="18"/>
                <w:highlight w:val="green"/>
              </w:rPr>
            </w:pPr>
          </w:p>
        </w:tc>
        <w:tc>
          <w:tcPr>
            <w:tcW w:w="0" w:type="auto"/>
            <w:tcBorders>
              <w:top w:val="nil"/>
              <w:left w:val="nil"/>
              <w:bottom w:val="single" w:color="auto" w:sz="4" w:space="0"/>
              <w:right w:val="single" w:color="auto" w:sz="8"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nil"/>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eastAsiaTheme="minorEastAsia"/>
                <w:b/>
                <w:bCs/>
                <w:color w:val="000000"/>
                <w:sz w:val="18"/>
                <w:szCs w:val="18"/>
                <w:highlight w:val="green"/>
                <w:lang w:eastAsia="zh-CN"/>
              </w:rPr>
            </w:pPr>
            <w:r>
              <w:rPr>
                <w:rFonts w:hint="eastAsia" w:ascii="Arial" w:hAnsi="Arial" w:cs="Arial" w:eastAsiaTheme="minorEastAsia"/>
                <w:b/>
                <w:bCs/>
                <w:color w:val="000000"/>
                <w:sz w:val="18"/>
                <w:szCs w:val="18"/>
                <w:highlight w:val="green"/>
                <w:lang w:eastAsia="zh-CN"/>
              </w:rPr>
              <w:t>(</w:t>
            </w:r>
            <w:r>
              <w:rPr>
                <w:rFonts w:ascii="Arial" w:hAnsi="Arial" w:cs="Arial" w:eastAsiaTheme="minorEastAsia"/>
                <w:b/>
                <w:bCs/>
                <w:color w:val="000000"/>
                <w:sz w:val="18"/>
                <w:szCs w:val="18"/>
                <w:highlight w:val="green"/>
                <w:lang w:eastAsia="zh-CN"/>
              </w:rPr>
              <w:t>kHz)</w:t>
            </w:r>
          </w:p>
        </w:tc>
        <w:tc>
          <w:tcPr>
            <w:tcW w:w="0" w:type="auto"/>
            <w:tcBorders>
              <w:top w:val="nil"/>
              <w:left w:val="single" w:color="auto" w:sz="4" w:space="0"/>
              <w:bottom w:val="single" w:color="auto" w:sz="4" w:space="0"/>
              <w:right w:val="single" w:color="auto" w:sz="8"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L</w:t>
            </w:r>
            <w:r>
              <w:rPr>
                <w:rFonts w:ascii="Arial" w:hAnsi="Arial" w:cs="Arial"/>
                <w:b/>
                <w:bCs/>
                <w:color w:val="000000"/>
                <w:sz w:val="18"/>
                <w:szCs w:val="18"/>
                <w:highlight w:val="green"/>
                <w:vertAlign w:val="subscript"/>
              </w:rPr>
              <w:t>CRB</w:t>
            </w:r>
          </w:p>
        </w:tc>
        <w:tc>
          <w:tcPr>
            <w:tcW w:w="0" w:type="auto"/>
            <w:tcBorders>
              <w:top w:val="nil"/>
              <w:left w:val="single" w:color="auto" w:sz="8" w:space="0"/>
              <w:bottom w:val="single" w:color="auto" w:sz="4" w:space="0"/>
              <w:right w:val="single" w:color="auto" w:sz="8"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nil"/>
              <w:bottom w:val="single" w:color="auto" w:sz="4" w:space="0"/>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(MHz)</w:t>
            </w:r>
          </w:p>
        </w:tc>
        <w:tc>
          <w:tcPr>
            <w:tcW w:w="0" w:type="auto"/>
            <w:tcBorders>
              <w:top w:val="nil"/>
              <w:left w:val="nil"/>
              <w:bottom w:val="single" w:color="auto" w:sz="4" w:space="0"/>
              <w:right w:val="single" w:color="auto" w:sz="8" w:space="0"/>
            </w:tcBorders>
            <w:vAlign w:val="center"/>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r>
              <w:rPr>
                <w:rFonts w:ascii="Arial" w:hAnsi="Arial" w:cs="Arial"/>
                <w:b/>
                <w:bCs/>
                <w:color w:val="000000"/>
                <w:sz w:val="18"/>
                <w:szCs w:val="18"/>
                <w:highlight w:val="green"/>
              </w:rPr>
              <w:t>(dB)</w:t>
            </w:r>
          </w:p>
        </w:tc>
        <w:tc>
          <w:tcPr>
            <w:tcW w:w="0" w:type="auto"/>
            <w:vMerge w:val="continue"/>
            <w:tcBorders>
              <w:left w:val="nil"/>
              <w:bottom w:val="single" w:color="auto" w:sz="4" w:space="0"/>
              <w:right w:val="single" w:color="auto" w:sz="8" w:space="0"/>
            </w:tcBorders>
          </w:tcPr>
          <w:p>
            <w:pPr>
              <w:keepNext/>
              <w:keepLines/>
              <w:pageBreakBefore w:val="0"/>
              <w:widowControl w:val="0"/>
              <w:kinsoku/>
              <w:wordWrap/>
              <w:topLinePunct w:val="0"/>
              <w:bidi w:val="0"/>
              <w:spacing w:after="0"/>
              <w:jc w:val="center"/>
              <w:rPr>
                <w:rFonts w:ascii="Arial" w:hAnsi="Arial" w:cs="Arial"/>
                <w:b/>
                <w:bCs/>
                <w:color w:val="000000"/>
                <w:sz w:val="18"/>
                <w:szCs w:val="18"/>
                <w:highlight w:val="green"/>
              </w:rPr>
            </w:pPr>
          </w:p>
        </w:tc>
      </w:tr>
      <w:tr>
        <w:tblPrEx>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74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w:t>
            </w:r>
            <w:r>
              <w:rPr>
                <w:rFonts w:ascii="Arial" w:hAnsi="Arial" w:cs="Arial" w:eastAsiaTheme="minorEastAsia"/>
                <w:bCs/>
                <w:sz w:val="18"/>
                <w:szCs w:val="18"/>
                <w:highlight w:val="green"/>
                <w:lang w:eastAsia="zh-CN"/>
              </w:rPr>
              <w:t>720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100 (RBstart=0)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bCs/>
                <w:sz w:val="18"/>
                <w:szCs w:val="18"/>
                <w:highlight w:val="green"/>
              </w:rPr>
            </w:pPr>
            <w:r>
              <w:rPr>
                <w:rFonts w:ascii="Arial" w:hAnsi="Arial" w:cs="Arial" w:eastAsiaTheme="minorEastAsia"/>
                <w:bCs/>
                <w:sz w:val="18"/>
                <w:szCs w:val="18"/>
                <w:highlight w:val="green"/>
                <w:lang w:eastAsia="zh-CN"/>
              </w:rPr>
              <w:t>1515.5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color w:val="000000"/>
                <w:sz w:val="18"/>
                <w:szCs w:val="18"/>
                <w:highlight w:val="green"/>
                <w:lang w:eastAsia="zh-CN"/>
              </w:rPr>
            </w:pPr>
            <w:r>
              <w:rPr>
                <w:rFonts w:hint="eastAsia" w:ascii="Arial" w:hAnsi="Arial" w:cs="Arial" w:eastAsiaTheme="minorEastAsia"/>
                <w:color w:val="000000"/>
                <w:sz w:val="18"/>
                <w:szCs w:val="18"/>
                <w:highlight w:val="green"/>
                <w:lang w:eastAsia="zh-CN"/>
              </w:rPr>
              <w:t>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hint="eastAsia" w:ascii="Arial" w:hAnsi="Arial" w:cs="Arial" w:eastAsiaTheme="minorEastAsia"/>
                <w:bCs/>
                <w:color w:val="000000"/>
                <w:sz w:val="18"/>
                <w:szCs w:val="18"/>
                <w:highlight w:val="green"/>
                <w:lang w:eastAsia="zh-CN"/>
              </w:rPr>
              <w:t>2.</w:t>
            </w:r>
            <w:r>
              <w:rPr>
                <w:rFonts w:ascii="Arial" w:hAnsi="Arial" w:cs="Arial" w:eastAsiaTheme="minorEastAsia"/>
                <w:bCs/>
                <w:color w:val="000000"/>
                <w:sz w:val="18"/>
                <w:szCs w:val="18"/>
                <w:highlight w:val="green"/>
                <w:lang w:eastAsia="zh-CN"/>
              </w:rPr>
              <w:t>6</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ascii="Arial" w:hAnsi="Arial" w:cs="Arial" w:eastAsiaTheme="minorEastAsia"/>
                <w:bCs/>
                <w:color w:val="000000"/>
                <w:sz w:val="18"/>
                <w:szCs w:val="18"/>
                <w:highlight w:val="green"/>
                <w:lang w:eastAsia="zh-CN"/>
              </w:rPr>
              <w:t>&gt;ACLR2</w:t>
            </w:r>
          </w:p>
        </w:tc>
      </w:tr>
      <w:tr>
        <w:tblPrEx>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34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20</w:t>
            </w:r>
            <w:r>
              <w:rPr>
                <w:rFonts w:ascii="Arial" w:hAnsi="Arial" w:cs="Arial" w:eastAsiaTheme="minorEastAsia"/>
                <w:bCs/>
                <w:sz w:val="18"/>
                <w:szCs w:val="18"/>
                <w:highlight w:val="green"/>
                <w:lang w:eastAsia="zh-CN"/>
              </w:rPr>
              <w:t>12.5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2</w:t>
            </w:r>
            <w:r>
              <w:rPr>
                <w:rFonts w:ascii="Arial" w:hAnsi="Arial" w:cs="Arial" w:eastAsiaTheme="minorEastAsia"/>
                <w:bCs/>
                <w:sz w:val="18"/>
                <w:szCs w:val="18"/>
                <w:highlight w:val="green"/>
                <w:lang w:eastAsia="zh-CN"/>
              </w:rPr>
              <w:t>5 (RBstart=0)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w:t>
            </w:r>
            <w:r>
              <w:rPr>
                <w:rFonts w:ascii="Arial" w:hAnsi="Arial" w:cs="Arial" w:eastAsiaTheme="minorEastAsia"/>
                <w:bCs/>
                <w:sz w:val="18"/>
                <w:szCs w:val="18"/>
                <w:highlight w:val="green"/>
                <w:lang w:eastAsia="zh-CN"/>
              </w:rPr>
              <w:t>877.5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color w:val="000000"/>
                <w:sz w:val="18"/>
                <w:szCs w:val="18"/>
                <w:highlight w:val="green"/>
                <w:lang w:eastAsia="zh-CN"/>
              </w:rPr>
            </w:pPr>
            <w:r>
              <w:rPr>
                <w:rFonts w:hint="eastAsia" w:ascii="Arial" w:hAnsi="Arial" w:cs="Arial" w:eastAsiaTheme="minorEastAsia"/>
                <w:color w:val="000000"/>
                <w:sz w:val="18"/>
                <w:szCs w:val="18"/>
                <w:highlight w:val="green"/>
                <w:lang w:eastAsia="zh-CN"/>
              </w:rPr>
              <w:t>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hint="eastAsia" w:ascii="Arial" w:hAnsi="Arial" w:cs="Arial" w:eastAsiaTheme="minorEastAsia"/>
                <w:bCs/>
                <w:color w:val="000000"/>
                <w:sz w:val="18"/>
                <w:szCs w:val="18"/>
                <w:highlight w:val="green"/>
                <w:lang w:eastAsia="zh-CN"/>
              </w:rPr>
              <w:t>3</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ascii="Arial" w:hAnsi="Arial" w:cs="Arial" w:eastAsiaTheme="minorEastAsia"/>
                <w:bCs/>
                <w:color w:val="000000"/>
                <w:sz w:val="18"/>
                <w:szCs w:val="18"/>
                <w:highlight w:val="green"/>
                <w:lang w:eastAsia="zh-CN"/>
              </w:rPr>
              <w:t>&gt;ACLR2</w:t>
            </w:r>
          </w:p>
        </w:tc>
      </w:tr>
      <w:tr>
        <w:tblPrEx>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46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78</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5</w:t>
            </w:r>
            <w:r>
              <w:rPr>
                <w:rFonts w:ascii="Arial" w:hAnsi="Arial" w:cs="Arial" w:eastAsiaTheme="minorEastAsia"/>
                <w:bCs/>
                <w:sz w:val="18"/>
                <w:szCs w:val="18"/>
                <w:highlight w:val="green"/>
                <w:lang w:eastAsia="zh-CN"/>
              </w:rPr>
              <w:t>190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w:t>
            </w:r>
            <w:r>
              <w:rPr>
                <w:rFonts w:ascii="Arial" w:hAnsi="Arial" w:cs="Arial" w:eastAsiaTheme="minorEastAsia"/>
                <w:bCs/>
                <w:sz w:val="18"/>
                <w:szCs w:val="18"/>
                <w:highlight w:val="green"/>
                <w:lang w:eastAsia="zh-CN"/>
              </w:rPr>
              <w:t>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3</w:t>
            </w:r>
            <w:r>
              <w:rPr>
                <w:rFonts w:ascii="Arial" w:hAnsi="Arial" w:cs="Arial" w:eastAsiaTheme="minorEastAsia"/>
                <w:bCs/>
                <w:sz w:val="18"/>
                <w:szCs w:val="18"/>
                <w:highlight w:val="green"/>
                <w:lang w:eastAsia="zh-CN"/>
              </w:rPr>
              <w:t>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216 (RBstart=0)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3795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color w:val="000000"/>
                <w:sz w:val="18"/>
                <w:szCs w:val="18"/>
                <w:highlight w:val="green"/>
                <w:lang w:eastAsia="zh-CN"/>
              </w:rPr>
            </w:pPr>
            <w:r>
              <w:rPr>
                <w:rFonts w:ascii="Arial" w:hAnsi="Arial" w:cs="Arial" w:eastAsiaTheme="minorEastAsia"/>
                <w:color w:val="000000"/>
                <w:sz w:val="18"/>
                <w:szCs w:val="18"/>
                <w:highlight w:val="green"/>
                <w:lang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hint="eastAsia" w:ascii="Arial" w:hAnsi="Arial" w:cs="Arial" w:eastAsiaTheme="minorEastAsia"/>
                <w:bCs/>
                <w:color w:val="000000"/>
                <w:sz w:val="18"/>
                <w:szCs w:val="18"/>
                <w:highlight w:val="green"/>
                <w:lang w:eastAsia="zh-CN"/>
              </w:rPr>
              <w:t>1</w:t>
            </w:r>
            <w:r>
              <w:rPr>
                <w:rFonts w:ascii="Arial" w:hAnsi="Arial" w:cs="Arial" w:eastAsiaTheme="minorEastAsia"/>
                <w:bCs/>
                <w:color w:val="000000"/>
                <w:sz w:val="18"/>
                <w:szCs w:val="18"/>
                <w:highlight w:val="green"/>
                <w:lang w:eastAsia="zh-CN"/>
              </w:rPr>
              <w:t>0.4</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ascii="Arial" w:hAnsi="Arial" w:cs="Arial" w:eastAsiaTheme="minorEastAsia"/>
                <w:bCs/>
                <w:color w:val="000000"/>
                <w:sz w:val="18"/>
                <w:szCs w:val="18"/>
                <w:highlight w:val="green"/>
                <w:lang w:eastAsia="zh-CN"/>
              </w:rPr>
              <w:t>&gt;ACLR2</w:t>
            </w:r>
          </w:p>
        </w:tc>
      </w:tr>
      <w:tr>
        <w:tblPrEx>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46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78</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5</w:t>
            </w:r>
            <w:r>
              <w:rPr>
                <w:rFonts w:ascii="Arial" w:hAnsi="Arial" w:cs="Arial" w:eastAsiaTheme="minorEastAsia"/>
                <w:bCs/>
                <w:sz w:val="18"/>
                <w:szCs w:val="18"/>
                <w:highlight w:val="green"/>
                <w:lang w:eastAsia="zh-CN"/>
              </w:rPr>
              <w:t>190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w:t>
            </w:r>
            <w:r>
              <w:rPr>
                <w:rFonts w:ascii="Arial" w:hAnsi="Arial" w:cs="Arial" w:eastAsiaTheme="minorEastAsia"/>
                <w:bCs/>
                <w:sz w:val="18"/>
                <w:szCs w:val="18"/>
                <w:highlight w:val="green"/>
                <w:lang w:eastAsia="zh-CN"/>
              </w:rPr>
              <w:t>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3</w:t>
            </w:r>
            <w:r>
              <w:rPr>
                <w:rFonts w:ascii="Arial" w:hAnsi="Arial" w:cs="Arial" w:eastAsiaTheme="minorEastAsia"/>
                <w:bCs/>
                <w:sz w:val="18"/>
                <w:szCs w:val="18"/>
                <w:highlight w:val="green"/>
                <w:lang w:eastAsia="zh-CN"/>
              </w:rPr>
              <w:t>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216 (RBstart=0)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3750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color w:val="000000"/>
                <w:sz w:val="18"/>
                <w:szCs w:val="18"/>
                <w:highlight w:val="green"/>
                <w:lang w:eastAsia="zh-CN"/>
              </w:rPr>
            </w:pPr>
            <w:r>
              <w:rPr>
                <w:rFonts w:ascii="Arial" w:hAnsi="Arial" w:cs="Arial" w:eastAsiaTheme="minorEastAsia"/>
                <w:color w:val="000000"/>
                <w:sz w:val="18"/>
                <w:szCs w:val="18"/>
                <w:highlight w:val="green"/>
                <w:lang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ascii="Arial" w:hAnsi="Arial" w:cs="Arial" w:eastAsiaTheme="minorEastAsia"/>
                <w:bCs/>
                <w:color w:val="000000"/>
                <w:sz w:val="18"/>
                <w:szCs w:val="18"/>
                <w:highlight w:val="green"/>
                <w:lang w:eastAsia="zh-CN"/>
              </w:rPr>
              <w:t>5.1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ascii="Arial" w:hAnsi="Arial" w:cs="Arial" w:eastAsiaTheme="minorEastAsia"/>
                <w:bCs/>
                <w:color w:val="000000"/>
                <w:sz w:val="18"/>
                <w:szCs w:val="18"/>
                <w:highlight w:val="green"/>
                <w:lang w:eastAsia="zh-CN"/>
              </w:rPr>
              <w:t>&gt;ACLR2</w:t>
            </w:r>
          </w:p>
        </w:tc>
      </w:tr>
      <w:tr>
        <w:tblPrEx>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77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sz w:val="18"/>
                <w:szCs w:val="18"/>
                <w:highlight w:val="green"/>
                <w:lang w:eastAsia="zh-CN"/>
              </w:rPr>
            </w:pPr>
            <w:r>
              <w:rPr>
                <w:rFonts w:hint="eastAsia" w:ascii="Arial" w:hAnsi="Arial" w:cs="Arial" w:eastAsiaTheme="minorEastAsia"/>
                <w:sz w:val="18"/>
                <w:szCs w:val="18"/>
                <w:highlight w:val="green"/>
                <w:lang w:eastAsia="zh-CN"/>
              </w:rPr>
              <w:t>n</w:t>
            </w:r>
            <w:r>
              <w:rPr>
                <w:rFonts w:ascii="Arial" w:hAnsi="Arial" w:cs="Arial" w:eastAsiaTheme="minorEastAsia"/>
                <w:sz w:val="18"/>
                <w:szCs w:val="18"/>
                <w:highlight w:val="green"/>
                <w:lang w:eastAsia="zh-CN"/>
              </w:rPr>
              <w:t>41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ascii="Arial" w:hAnsi="Arial" w:cs="Arial" w:eastAsiaTheme="minorEastAsia"/>
                <w:bCs/>
                <w:sz w:val="18"/>
                <w:szCs w:val="18"/>
                <w:highlight w:val="green"/>
                <w:lang w:eastAsia="zh-CN"/>
              </w:rPr>
              <w:t>3350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1</w:t>
            </w:r>
            <w:r>
              <w:rPr>
                <w:rFonts w:ascii="Arial" w:hAnsi="Arial" w:cs="Arial" w:eastAsiaTheme="minorEastAsia"/>
                <w:bCs/>
                <w:sz w:val="18"/>
                <w:szCs w:val="18"/>
                <w:highlight w:val="green"/>
                <w:lang w:eastAsia="zh-CN"/>
              </w:rPr>
              <w:t>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30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2</w:t>
            </w:r>
            <w:r>
              <w:rPr>
                <w:rFonts w:ascii="Arial" w:hAnsi="Arial" w:cs="Arial" w:eastAsiaTheme="minorEastAsia"/>
                <w:bCs/>
                <w:sz w:val="18"/>
                <w:szCs w:val="18"/>
                <w:highlight w:val="green"/>
                <w:lang w:eastAsia="zh-CN"/>
              </w:rPr>
              <w:t>70 (RBstart=0)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spacing w:after="0"/>
              <w:jc w:val="center"/>
              <w:rPr>
                <w:rFonts w:ascii="Arial" w:hAnsi="Arial" w:cs="Arial" w:eastAsiaTheme="minorEastAsia"/>
                <w:bCs/>
                <w:sz w:val="18"/>
                <w:szCs w:val="18"/>
                <w:highlight w:val="green"/>
                <w:lang w:eastAsia="zh-CN"/>
              </w:rPr>
            </w:pPr>
            <w:r>
              <w:rPr>
                <w:rFonts w:hint="eastAsia" w:ascii="Arial" w:hAnsi="Arial" w:cs="Arial" w:eastAsiaTheme="minorEastAsia"/>
                <w:bCs/>
                <w:sz w:val="18"/>
                <w:szCs w:val="18"/>
                <w:highlight w:val="green"/>
                <w:lang w:eastAsia="zh-CN"/>
              </w:rPr>
              <w:t>2</w:t>
            </w:r>
            <w:r>
              <w:rPr>
                <w:rFonts w:ascii="Arial" w:hAnsi="Arial" w:cs="Arial" w:eastAsiaTheme="minorEastAsia"/>
                <w:bCs/>
                <w:sz w:val="18"/>
                <w:szCs w:val="18"/>
                <w:highlight w:val="green"/>
                <w:lang w:eastAsia="zh-CN"/>
              </w:rPr>
              <w:t>685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color w:val="000000"/>
                <w:sz w:val="18"/>
                <w:szCs w:val="18"/>
                <w:highlight w:val="green"/>
                <w:lang w:eastAsia="zh-CN"/>
              </w:rPr>
            </w:pPr>
            <w:r>
              <w:rPr>
                <w:rFonts w:hint="eastAsia" w:ascii="Arial" w:hAnsi="Arial" w:cs="Arial" w:eastAsiaTheme="minorEastAsia"/>
                <w:color w:val="000000"/>
                <w:sz w:val="18"/>
                <w:szCs w:val="18"/>
                <w:highlight w:val="green"/>
                <w:lang w:eastAsia="zh-CN"/>
              </w:rPr>
              <w:t>1</w:t>
            </w:r>
            <w:r>
              <w:rPr>
                <w:rFonts w:ascii="Arial" w:hAnsi="Arial" w:cs="Arial" w:eastAsiaTheme="minorEastAsia"/>
                <w:color w:val="000000"/>
                <w:sz w:val="18"/>
                <w:szCs w:val="18"/>
                <w:highlight w:val="green"/>
                <w:lang w:eastAsia="zh-CN"/>
              </w:rPr>
              <w:t>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hint="eastAsia" w:ascii="Arial" w:hAnsi="Arial" w:cs="Arial" w:eastAsiaTheme="minorEastAsia"/>
                <w:bCs/>
                <w:color w:val="000000"/>
                <w:sz w:val="18"/>
                <w:szCs w:val="18"/>
                <w:highlight w:val="green"/>
                <w:lang w:eastAsia="zh-CN"/>
              </w:rPr>
              <w:t>4</w:t>
            </w:r>
            <w:r>
              <w:rPr>
                <w:rFonts w:ascii="Arial" w:hAnsi="Arial" w:cs="Arial" w:eastAsiaTheme="minorEastAsia"/>
                <w:bCs/>
                <w:color w:val="000000"/>
                <w:sz w:val="18"/>
                <w:szCs w:val="18"/>
                <w:highlight w:val="green"/>
                <w:lang w:eastAsia="zh-CN"/>
              </w:rPr>
              <w:t>.5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topLinePunct w:val="0"/>
              <w:bidi w:val="0"/>
              <w:spacing w:after="0"/>
              <w:jc w:val="center"/>
              <w:rPr>
                <w:rFonts w:ascii="Arial" w:hAnsi="Arial" w:cs="Arial" w:eastAsiaTheme="minorEastAsia"/>
                <w:bCs/>
                <w:color w:val="000000"/>
                <w:sz w:val="18"/>
                <w:szCs w:val="18"/>
                <w:highlight w:val="green"/>
                <w:lang w:eastAsia="zh-CN"/>
              </w:rPr>
            </w:pPr>
            <w:r>
              <w:rPr>
                <w:rFonts w:ascii="Arial" w:hAnsi="Arial" w:cs="Arial" w:eastAsiaTheme="minorEastAsia"/>
                <w:bCs/>
                <w:color w:val="000000"/>
                <w:sz w:val="18"/>
                <w:szCs w:val="18"/>
                <w:highlight w:val="green"/>
                <w:lang w:eastAsia="zh-CN"/>
              </w:rPr>
              <w:t>&gt;ACLR2</w:t>
            </w:r>
          </w:p>
        </w:tc>
      </w:tr>
      <w:tr>
        <w:tblPrEx>
          <w:tblCellMar>
            <w:top w:w="0" w:type="dxa"/>
            <w:left w:w="108" w:type="dxa"/>
            <w:bottom w:w="0" w:type="dxa"/>
            <w:right w:w="108" w:type="dxa"/>
          </w:tblCellMar>
        </w:tblPrEx>
        <w:trPr>
          <w:trHeight w:val="29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jc w:val="center"/>
              <w:rPr>
                <w:highlight w:val="green"/>
              </w:rPr>
            </w:pPr>
            <w:r>
              <w:rPr>
                <w:highlight w:val="green"/>
              </w:rPr>
              <w:t>n77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jc w:val="center"/>
              <w:rPr>
                <w:highlight w:val="green"/>
              </w:rPr>
            </w:pPr>
            <w:r>
              <w:rPr>
                <w:highlight w:val="green"/>
              </w:rPr>
              <w:t>n41</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jc w:val="center"/>
              <w:rPr>
                <w:highlight w:val="green"/>
              </w:rPr>
            </w:pPr>
            <w:r>
              <w:rPr>
                <w:highlight w:val="green"/>
              </w:rPr>
              <w:t>3350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jc w:val="center"/>
              <w:rPr>
                <w:highlight w:val="green"/>
              </w:rPr>
            </w:pPr>
            <w:r>
              <w:rPr>
                <w:highlight w:val="green"/>
              </w:rPr>
              <w:t>100</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jc w:val="center"/>
              <w:rPr>
                <w:highlight w:val="green"/>
              </w:rPr>
            </w:pPr>
            <w:r>
              <w:rPr>
                <w:highlight w:val="green"/>
              </w:rPr>
              <w:t>30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jc w:val="center"/>
              <w:rPr>
                <w:highlight w:val="green"/>
              </w:rPr>
            </w:pPr>
            <w:r>
              <w:rPr>
                <w:highlight w:val="green"/>
              </w:rPr>
              <w:t>270 (RBstart=0)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pageBreakBefore w:val="0"/>
              <w:widowControl w:val="0"/>
              <w:kinsoku/>
              <w:wordWrap/>
              <w:topLinePunct w:val="0"/>
              <w:bidi w:val="0"/>
              <w:jc w:val="center"/>
              <w:rPr>
                <w:highlight w:val="green"/>
              </w:rPr>
            </w:pPr>
            <w:r>
              <w:rPr>
                <w:highlight w:val="green"/>
              </w:rPr>
              <w:t>2640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jc w:val="center"/>
              <w:rPr>
                <w:highlight w:val="green"/>
              </w:rPr>
            </w:pPr>
            <w:r>
              <w:rPr>
                <w:highlight w:val="gree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keepNext/>
              <w:keepLines/>
              <w:pageBreakBefore w:val="0"/>
              <w:widowControl w:val="0"/>
              <w:kinsoku/>
              <w:wordWrap/>
              <w:topLinePunct w:val="0"/>
              <w:bidi w:val="0"/>
              <w:jc w:val="center"/>
              <w:rPr>
                <w:highlight w:val="green"/>
              </w:rPr>
            </w:pPr>
            <w:r>
              <w:rPr>
                <w:highlight w:val="green"/>
              </w:rPr>
              <w:t>4.5</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topLinePunct w:val="0"/>
              <w:bidi w:val="0"/>
              <w:jc w:val="center"/>
              <w:rPr>
                <w:highlight w:val="green"/>
              </w:rPr>
            </w:pPr>
            <w:r>
              <w:rPr>
                <w:rFonts w:ascii="Arial" w:hAnsi="Arial" w:cs="Arial" w:eastAsiaTheme="minorEastAsia"/>
                <w:bCs/>
                <w:color w:val="000000"/>
                <w:sz w:val="18"/>
                <w:szCs w:val="18"/>
                <w:highlight w:val="green"/>
                <w:lang w:eastAsia="zh-CN"/>
              </w:rPr>
              <w:t>&gt;ACLR2</w:t>
            </w:r>
          </w:p>
        </w:tc>
      </w:tr>
      <w:tr>
        <w:tblPrEx>
          <w:tblCellMar>
            <w:top w:w="0" w:type="dxa"/>
            <w:left w:w="108" w:type="dxa"/>
            <w:bottom w:w="0" w:type="dxa"/>
            <w:right w:w="108" w:type="dxa"/>
          </w:tblCellMar>
        </w:tblPrEx>
        <w:trPr>
          <w:trHeight w:val="297" w:hRule="atLeast"/>
          <w:jc w:val="center"/>
        </w:trPr>
        <w:tc>
          <w:tcPr>
            <w:tcW w:w="0" w:type="auto"/>
            <w:gridSpan w:val="10"/>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rPr>
                <w:rFonts w:eastAsiaTheme="minorEastAsia"/>
                <w:lang w:eastAsia="zh-CN"/>
              </w:rPr>
            </w:pPr>
            <w:r>
              <w:rPr>
                <w:rFonts w:hint="eastAsia" w:eastAsiaTheme="minorEastAsia"/>
                <w:highlight w:val="green"/>
                <w:lang w:eastAsia="zh-CN"/>
              </w:rPr>
              <w:t>N</w:t>
            </w:r>
            <w:r>
              <w:rPr>
                <w:rFonts w:eastAsiaTheme="minorEastAsia"/>
                <w:highlight w:val="green"/>
                <w:lang w:eastAsia="zh-CN"/>
              </w:rPr>
              <w:t>OTE X: When the victim DL bands are FDD bands, the UL RB allocation of victim FDD bands shouldn’t be configured</w:t>
            </w:r>
          </w:p>
        </w:tc>
      </w:tr>
      <w:bookmarkEnd w:id="6"/>
    </w:tbl>
    <w:p>
      <w:pPr>
        <w:keepNext/>
        <w:keepLines/>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0"/>
          <w:highlight w:val="none"/>
          <w:lang w:val="en-US" w:eastAsia="zh-CN"/>
        </w:rPr>
      </w:pPr>
      <w:r>
        <w:rPr>
          <w:rFonts w:hint="eastAsia"/>
          <w:bCs/>
          <w:kern w:val="0"/>
          <w:sz w:val="20"/>
          <w:highlight w:val="none"/>
          <w:lang w:val="en-US" w:eastAsia="zh-CN"/>
        </w:rPr>
        <w:t>And the MSD table format for harmonic requirements are agreed as:</w:t>
      </w:r>
    </w:p>
    <w:tbl>
      <w:tblPr>
        <w:tblStyle w:val="20"/>
        <w:tblW w:w="0" w:type="auto"/>
        <w:jc w:val="center"/>
        <w:tblLayout w:type="fixed"/>
        <w:tblCellMar>
          <w:top w:w="0" w:type="dxa"/>
          <w:left w:w="108" w:type="dxa"/>
          <w:bottom w:w="0" w:type="dxa"/>
          <w:right w:w="108" w:type="dxa"/>
        </w:tblCellMar>
      </w:tblPr>
      <w:tblGrid>
        <w:gridCol w:w="1319"/>
        <w:gridCol w:w="1319"/>
        <w:gridCol w:w="1319"/>
        <w:gridCol w:w="1319"/>
        <w:gridCol w:w="1319"/>
        <w:gridCol w:w="1319"/>
        <w:gridCol w:w="1319"/>
        <w:gridCol w:w="1319"/>
        <w:gridCol w:w="1323"/>
      </w:tblGrid>
      <w:tr>
        <w:tblPrEx>
          <w:tblCellMar>
            <w:top w:w="0" w:type="dxa"/>
            <w:left w:w="108" w:type="dxa"/>
            <w:bottom w:w="0" w:type="dxa"/>
            <w:right w:w="108" w:type="dxa"/>
          </w:tblCellMar>
        </w:tblPrEx>
        <w:trPr>
          <w:trHeight w:val="401" w:hRule="atLeast"/>
          <w:jc w:val="center"/>
        </w:trPr>
        <w:tc>
          <w:tcPr>
            <w:tcW w:w="1319" w:type="dxa"/>
            <w:vMerge w:val="restart"/>
            <w:tcBorders>
              <w:top w:val="single" w:color="auto" w:sz="8" w:space="0"/>
              <w:left w:val="single" w:color="auto" w:sz="8"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bookmarkStart w:id="10" w:name="OLE_LINK14"/>
            <w:r>
              <w:rPr>
                <w:rFonts w:ascii="Arial" w:hAnsi="Arial" w:cs="Arial"/>
                <w:b/>
                <w:bCs/>
                <w:color w:val="000000"/>
                <w:sz w:val="18"/>
                <w:szCs w:val="18"/>
              </w:rPr>
              <w:t>UL band</w:t>
            </w:r>
          </w:p>
        </w:tc>
        <w:tc>
          <w:tcPr>
            <w:tcW w:w="1319" w:type="dxa"/>
            <w:vMerge w:val="restart"/>
            <w:tcBorders>
              <w:top w:val="single" w:color="auto" w:sz="8" w:space="0"/>
              <w:left w:val="single" w:color="auto" w:sz="8"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DL band</w:t>
            </w:r>
          </w:p>
        </w:tc>
        <w:tc>
          <w:tcPr>
            <w:tcW w:w="1319" w:type="dxa"/>
            <w:tcBorders>
              <w:top w:val="single" w:color="auto" w:sz="8" w:space="0"/>
              <w:left w:val="nil"/>
              <w:bottom w:val="nil"/>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UL BW</w:t>
            </w:r>
          </w:p>
        </w:tc>
        <w:tc>
          <w:tcPr>
            <w:tcW w:w="1319" w:type="dxa"/>
            <w:tcBorders>
              <w:top w:val="single" w:color="auto" w:sz="4" w:space="0"/>
              <w:left w:val="single" w:color="auto" w:sz="4" w:space="0"/>
              <w:bottom w:val="nil"/>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
                <w:bCs/>
                <w:color w:val="000000"/>
                <w:sz w:val="18"/>
                <w:szCs w:val="18"/>
                <w:lang w:eastAsia="zh-CN"/>
              </w:rPr>
            </w:pPr>
            <w:r>
              <w:rPr>
                <w:rFonts w:ascii="Arial" w:hAnsi="Arial" w:cs="Arial" w:eastAsiaTheme="minorEastAsia"/>
                <w:b/>
                <w:bCs/>
                <w:color w:val="000000"/>
                <w:sz w:val="18"/>
                <w:szCs w:val="18"/>
                <w:lang w:eastAsia="zh-CN"/>
              </w:rPr>
              <w:t>SCS of UL band</w:t>
            </w:r>
          </w:p>
        </w:tc>
        <w:tc>
          <w:tcPr>
            <w:tcW w:w="1319" w:type="dxa"/>
            <w:tcBorders>
              <w:top w:val="single" w:color="auto" w:sz="8" w:space="0"/>
              <w:left w:val="single" w:color="auto" w:sz="4" w:space="0"/>
              <w:bottom w:val="nil"/>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UL RB Allocation</w:t>
            </w:r>
          </w:p>
        </w:tc>
        <w:tc>
          <w:tcPr>
            <w:tcW w:w="1319" w:type="dxa"/>
            <w:tcBorders>
              <w:top w:val="single" w:color="auto" w:sz="8" w:space="0"/>
              <w:left w:val="nil"/>
              <w:bottom w:val="nil"/>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DL BW</w:t>
            </w:r>
          </w:p>
        </w:tc>
        <w:tc>
          <w:tcPr>
            <w:tcW w:w="1319" w:type="dxa"/>
            <w:tcBorders>
              <w:top w:val="single" w:color="auto" w:sz="8" w:space="0"/>
              <w:left w:val="nil"/>
              <w:bottom w:val="nil"/>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MSD</w:t>
            </w:r>
          </w:p>
        </w:tc>
        <w:tc>
          <w:tcPr>
            <w:tcW w:w="1319" w:type="dxa"/>
            <w:vMerge w:val="restart"/>
            <w:tcBorders>
              <w:top w:val="single" w:color="auto" w:sz="8" w:space="0"/>
              <w:left w:val="nil"/>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
                <w:bCs/>
                <w:color w:val="000000"/>
                <w:sz w:val="18"/>
                <w:szCs w:val="18"/>
                <w:lang w:eastAsia="zh-CN"/>
              </w:rPr>
            </w:pPr>
            <w:r>
              <w:rPr>
                <w:rFonts w:ascii="Arial" w:hAnsi="Arial" w:cs="Arial" w:eastAsiaTheme="minorEastAsia"/>
                <w:b/>
                <w:bCs/>
                <w:color w:val="000000"/>
                <w:sz w:val="18"/>
                <w:szCs w:val="18"/>
                <w:lang w:eastAsia="zh-CN"/>
              </w:rPr>
              <w:t>UL/DL fc condition</w:t>
            </w:r>
          </w:p>
        </w:tc>
        <w:tc>
          <w:tcPr>
            <w:tcW w:w="1323" w:type="dxa"/>
            <w:vMerge w:val="restart"/>
            <w:tcBorders>
              <w:top w:val="single" w:color="auto" w:sz="8" w:space="0"/>
              <w:left w:val="single" w:color="auto" w:sz="4"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tblPrEx>
          <w:tblCellMar>
            <w:top w:w="0" w:type="dxa"/>
            <w:left w:w="108" w:type="dxa"/>
            <w:bottom w:w="0" w:type="dxa"/>
            <w:right w:w="108" w:type="dxa"/>
          </w:tblCellMar>
        </w:tblPrEx>
        <w:trPr>
          <w:trHeight w:val="244" w:hRule="atLeast"/>
          <w:jc w:val="center"/>
        </w:trPr>
        <w:tc>
          <w:tcPr>
            <w:tcW w:w="1319" w:type="dxa"/>
            <w:vMerge w:val="continue"/>
            <w:tcBorders>
              <w:top w:val="single" w:color="auto" w:sz="8" w:space="0"/>
              <w:left w:val="single" w:color="auto" w:sz="8"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textAlignment w:val="auto"/>
              <w:rPr>
                <w:rFonts w:ascii="Arial" w:hAnsi="Arial" w:cs="Arial"/>
                <w:b/>
                <w:bCs/>
                <w:color w:val="000000"/>
                <w:sz w:val="18"/>
                <w:szCs w:val="18"/>
              </w:rPr>
            </w:pPr>
          </w:p>
        </w:tc>
        <w:tc>
          <w:tcPr>
            <w:tcW w:w="1319" w:type="dxa"/>
            <w:vMerge w:val="continue"/>
            <w:tcBorders>
              <w:top w:val="single" w:color="auto" w:sz="8" w:space="0"/>
              <w:left w:val="single" w:color="auto" w:sz="8"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textAlignment w:val="auto"/>
              <w:rPr>
                <w:rFonts w:ascii="Arial" w:hAnsi="Arial" w:cs="Arial"/>
                <w:b/>
                <w:bCs/>
                <w:color w:val="000000"/>
                <w:sz w:val="18"/>
                <w:szCs w:val="18"/>
              </w:rPr>
            </w:pPr>
          </w:p>
        </w:tc>
        <w:tc>
          <w:tcPr>
            <w:tcW w:w="1319" w:type="dxa"/>
            <w:tcBorders>
              <w:top w:val="nil"/>
              <w:left w:val="nil"/>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(MHz)</w:t>
            </w:r>
          </w:p>
        </w:tc>
        <w:tc>
          <w:tcPr>
            <w:tcW w:w="1319" w:type="dxa"/>
            <w:tcBorders>
              <w:top w:val="nil"/>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
                <w:bCs/>
                <w:color w:val="000000"/>
                <w:sz w:val="18"/>
                <w:szCs w:val="18"/>
                <w:lang w:eastAsia="zh-CN"/>
              </w:rPr>
            </w:pPr>
            <w:r>
              <w:rPr>
                <w:rFonts w:ascii="Arial" w:hAnsi="Arial" w:cs="Arial" w:eastAsiaTheme="minorEastAsia"/>
                <w:b/>
                <w:bCs/>
                <w:color w:val="000000"/>
                <w:sz w:val="18"/>
                <w:szCs w:val="18"/>
                <w:lang w:eastAsia="zh-CN"/>
              </w:rPr>
              <w:t>(kHz)</w:t>
            </w:r>
          </w:p>
        </w:tc>
        <w:tc>
          <w:tcPr>
            <w:tcW w:w="1319" w:type="dxa"/>
            <w:tcBorders>
              <w:top w:val="nil"/>
              <w:left w:val="single" w:color="auto" w:sz="4"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1319" w:type="dxa"/>
            <w:tcBorders>
              <w:top w:val="nil"/>
              <w:left w:val="nil"/>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(MHz)</w:t>
            </w:r>
          </w:p>
        </w:tc>
        <w:tc>
          <w:tcPr>
            <w:tcW w:w="1319" w:type="dxa"/>
            <w:tcBorders>
              <w:top w:val="nil"/>
              <w:left w:val="nil"/>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b/>
                <w:bCs/>
                <w:color w:val="000000"/>
                <w:sz w:val="18"/>
                <w:szCs w:val="18"/>
              </w:rPr>
            </w:pPr>
            <w:r>
              <w:rPr>
                <w:rFonts w:ascii="Arial" w:hAnsi="Arial" w:cs="Arial"/>
                <w:b/>
                <w:bCs/>
                <w:color w:val="000000"/>
                <w:sz w:val="18"/>
                <w:szCs w:val="18"/>
              </w:rPr>
              <w:t>(dB)</w:t>
            </w:r>
          </w:p>
        </w:tc>
        <w:tc>
          <w:tcPr>
            <w:tcW w:w="1319" w:type="dxa"/>
            <w:vMerge w:val="continue"/>
            <w:tcBorders>
              <w:top w:val="single" w:color="auto" w:sz="8" w:space="0"/>
              <w:left w:val="nil"/>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textAlignment w:val="auto"/>
              <w:rPr>
                <w:rFonts w:ascii="Arial" w:hAnsi="Arial" w:cs="Arial" w:eastAsiaTheme="minorEastAsia"/>
                <w:b/>
                <w:bCs/>
                <w:color w:val="000000"/>
                <w:sz w:val="18"/>
                <w:szCs w:val="18"/>
                <w:lang w:eastAsia="zh-CN"/>
              </w:rPr>
            </w:pPr>
          </w:p>
        </w:tc>
        <w:tc>
          <w:tcPr>
            <w:tcW w:w="1323" w:type="dxa"/>
            <w:vMerge w:val="continue"/>
            <w:tcBorders>
              <w:top w:val="single" w:color="auto" w:sz="8" w:space="0"/>
              <w:left w:val="single" w:color="auto" w:sz="4" w:space="0"/>
              <w:bottom w:val="single" w:color="auto" w:sz="4" w:space="0"/>
              <w:right w:val="single" w:color="auto" w:sz="8"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textAlignment w:val="auto"/>
              <w:rPr>
                <w:rFonts w:ascii="Arial" w:hAnsi="Arial" w:cs="Arial"/>
                <w:b/>
                <w:bCs/>
                <w:color w:val="000000"/>
                <w:sz w:val="18"/>
                <w:szCs w:val="18"/>
                <w:lang w:eastAsia="zh-CN"/>
              </w:rPr>
            </w:pPr>
          </w:p>
        </w:tc>
      </w:tr>
      <w:tr>
        <w:tblPrEx>
          <w:tblCellMar>
            <w:top w:w="0" w:type="dxa"/>
            <w:left w:w="108" w:type="dxa"/>
            <w:bottom w:w="0" w:type="dxa"/>
            <w:right w:w="108" w:type="dxa"/>
          </w:tblCellMar>
        </w:tblPrEx>
        <w:trPr>
          <w:trHeight w:val="300" w:hRule="atLeast"/>
          <w:jc w:val="center"/>
        </w:trPr>
        <w:tc>
          <w:tcPr>
            <w:tcW w:w="13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sz w:val="18"/>
                <w:szCs w:val="18"/>
                <w:lang w:eastAsia="zh-CN"/>
              </w:rPr>
            </w:pPr>
            <w:r>
              <w:rPr>
                <w:rFonts w:ascii="Arial" w:hAnsi="Arial" w:cs="Arial" w:eastAsiaTheme="minorEastAsia"/>
                <w:sz w:val="18"/>
                <w:szCs w:val="18"/>
                <w:lang w:eastAsia="zh-CN"/>
              </w:rPr>
              <w:t>nX</w:t>
            </w:r>
          </w:p>
        </w:tc>
        <w:tc>
          <w:tcPr>
            <w:tcW w:w="13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sz w:val="18"/>
                <w:szCs w:val="18"/>
                <w:lang w:eastAsia="zh-CN"/>
              </w:rPr>
            </w:pPr>
            <w:r>
              <w:rPr>
                <w:rFonts w:ascii="Arial" w:hAnsi="Arial" w:cs="Arial" w:eastAsiaTheme="minorEastAsia"/>
                <w:sz w:val="18"/>
                <w:szCs w:val="18"/>
                <w:lang w:eastAsia="zh-CN"/>
              </w:rPr>
              <w:t>nY</w:t>
            </w:r>
          </w:p>
        </w:tc>
        <w:tc>
          <w:tcPr>
            <w:tcW w:w="1319" w:type="dxa"/>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Cs/>
                <w:sz w:val="18"/>
                <w:szCs w:val="18"/>
                <w:lang w:eastAsia="zh-CN"/>
              </w:rPr>
            </w:pPr>
            <w:r>
              <w:rPr>
                <w:rFonts w:ascii="Arial" w:hAnsi="Arial" w:cs="Arial" w:eastAsiaTheme="minorEastAsia"/>
                <w:bCs/>
                <w:sz w:val="18"/>
                <w:szCs w:val="18"/>
                <w:lang w:eastAsia="zh-CN"/>
              </w:rPr>
              <w:t>5</w:t>
            </w:r>
          </w:p>
        </w:tc>
        <w:tc>
          <w:tcPr>
            <w:tcW w:w="1319" w:type="dxa"/>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Cs/>
                <w:sz w:val="18"/>
                <w:szCs w:val="18"/>
                <w:lang w:eastAsia="zh-CN"/>
              </w:rPr>
            </w:pPr>
            <w:r>
              <w:rPr>
                <w:rFonts w:ascii="Arial" w:hAnsi="Arial" w:cs="Arial" w:eastAsiaTheme="minorEastAsia"/>
                <w:bCs/>
                <w:sz w:val="18"/>
                <w:szCs w:val="18"/>
                <w:lang w:eastAsia="zh-CN"/>
              </w:rPr>
              <w:t>15</w:t>
            </w:r>
          </w:p>
        </w:tc>
        <w:tc>
          <w:tcPr>
            <w:tcW w:w="1319" w:type="dxa"/>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Cs/>
                <w:sz w:val="18"/>
                <w:szCs w:val="18"/>
                <w:lang w:eastAsia="zh-CN"/>
              </w:rPr>
            </w:pPr>
            <w:r>
              <w:rPr>
                <w:rFonts w:ascii="Arial" w:hAnsi="Arial" w:cs="Arial" w:eastAsiaTheme="minorEastAsia"/>
                <w:bCs/>
                <w:sz w:val="18"/>
                <w:szCs w:val="18"/>
                <w:lang w:eastAsia="zh-CN"/>
              </w:rPr>
              <w:t>25 (RBstart=0)</w:t>
            </w:r>
          </w:p>
        </w:tc>
        <w:tc>
          <w:tcPr>
            <w:tcW w:w="1319" w:type="dxa"/>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color w:val="000000"/>
                <w:sz w:val="18"/>
                <w:szCs w:val="18"/>
                <w:lang w:eastAsia="zh-CN"/>
              </w:rPr>
            </w:pPr>
            <w:r>
              <w:rPr>
                <w:rFonts w:ascii="Arial" w:hAnsi="Arial" w:cs="Arial" w:eastAsiaTheme="minorEastAsia"/>
                <w:color w:val="000000"/>
                <w:sz w:val="18"/>
                <w:szCs w:val="18"/>
                <w:lang w:eastAsia="zh-CN"/>
              </w:rPr>
              <w:t>10</w:t>
            </w:r>
          </w:p>
        </w:tc>
        <w:tc>
          <w:tcPr>
            <w:tcW w:w="1319" w:type="dxa"/>
            <w:tcBorders>
              <w:top w:val="single" w:color="auto" w:sz="4" w:space="0"/>
              <w:left w:val="single" w:color="auto" w:sz="4" w:space="0"/>
              <w:bottom w:val="single" w:color="auto" w:sz="4" w:space="0"/>
              <w:right w:val="single" w:color="auto" w:sz="4" w:space="0"/>
            </w:tcBorders>
            <w:noWrap/>
            <w:vAlign w:val="center"/>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Cs/>
                <w:color w:val="000000"/>
                <w:sz w:val="18"/>
                <w:szCs w:val="18"/>
                <w:lang w:eastAsia="zh-CN"/>
              </w:rPr>
            </w:pPr>
            <w:r>
              <w:rPr>
                <w:rFonts w:ascii="Arial" w:hAnsi="Arial" w:cs="Arial" w:eastAsiaTheme="minorEastAsia"/>
                <w:bCs/>
                <w:color w:val="000000"/>
                <w:sz w:val="18"/>
                <w:szCs w:val="18"/>
                <w:lang w:eastAsia="zh-CN"/>
              </w:rPr>
              <w:t>23.5</w:t>
            </w:r>
          </w:p>
        </w:tc>
        <w:tc>
          <w:tcPr>
            <w:tcW w:w="1319"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Cs/>
                <w:color w:val="000000"/>
                <w:sz w:val="18"/>
                <w:szCs w:val="18"/>
                <w:lang w:eastAsia="zh-CN"/>
              </w:rPr>
            </w:pPr>
            <w:r>
              <w:rPr>
                <w:rFonts w:ascii="Arial" w:hAnsi="Arial" w:cs="Arial" w:eastAsiaTheme="minorEastAsia"/>
                <w:bCs/>
                <w:color w:val="000000"/>
                <w:sz w:val="18"/>
                <w:szCs w:val="18"/>
                <w:lang w:eastAsia="zh-CN"/>
              </w:rPr>
              <w:t>Note1</w:t>
            </w:r>
          </w:p>
        </w:tc>
        <w:tc>
          <w:tcPr>
            <w:tcW w:w="1323" w:type="dxa"/>
            <w:tcBorders>
              <w:top w:val="single" w:color="auto" w:sz="4" w:space="0"/>
              <w:left w:val="single" w:color="auto" w:sz="4" w:space="0"/>
              <w:bottom w:val="single" w:color="auto" w:sz="4" w:space="0"/>
              <w:right w:val="single" w:color="auto" w:sz="4" w:space="0"/>
            </w:tcBorders>
          </w:tcPr>
          <w:p>
            <w:pPr>
              <w:keepNext/>
              <w:keepLines/>
              <w:pageBreakBefore w:val="0"/>
              <w:widowControl w:val="0"/>
              <w:kinsoku/>
              <w:wordWrap/>
              <w:overflowPunct/>
              <w:topLinePunct w:val="0"/>
              <w:autoSpaceDE/>
              <w:autoSpaceDN/>
              <w:bidi w:val="0"/>
              <w:adjustRightInd/>
              <w:snapToGrid/>
              <w:spacing w:beforeLines="0" w:after="0" w:afterLines="0" w:line="240" w:lineRule="auto"/>
              <w:jc w:val="center"/>
              <w:textAlignment w:val="auto"/>
              <w:rPr>
                <w:rFonts w:ascii="Arial" w:hAnsi="Arial" w:cs="Arial" w:eastAsiaTheme="minorEastAsia"/>
                <w:bCs/>
                <w:color w:val="000000"/>
                <w:sz w:val="18"/>
                <w:szCs w:val="18"/>
                <w:lang w:eastAsia="zh-CN"/>
              </w:rPr>
            </w:pPr>
            <w:r>
              <w:rPr>
                <w:rFonts w:ascii="Arial" w:hAnsi="Arial" w:cs="Arial" w:eastAsiaTheme="minorEastAsia"/>
                <w:bCs/>
                <w:color w:val="000000"/>
                <w:sz w:val="18"/>
                <w:szCs w:val="18"/>
                <w:lang w:eastAsia="zh-CN"/>
              </w:rPr>
              <w:t>UL2/DL1</w:t>
            </w:r>
          </w:p>
        </w:tc>
      </w:tr>
      <w:tr>
        <w:tblPrEx>
          <w:tblCellMar>
            <w:top w:w="0" w:type="dxa"/>
            <w:left w:w="108" w:type="dxa"/>
            <w:bottom w:w="0" w:type="dxa"/>
            <w:right w:w="108" w:type="dxa"/>
          </w:tblCellMar>
        </w:tblPrEx>
        <w:trPr>
          <w:trHeight w:val="300" w:hRule="atLeast"/>
          <w:jc w:val="center"/>
        </w:trPr>
        <w:tc>
          <w:tcPr>
            <w:tcW w:w="11875" w:type="dxa"/>
            <w:gridSpan w:val="9"/>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val="0"/>
              <w:kinsoku/>
              <w:wordWrap/>
              <w:topLinePunct w:val="0"/>
              <w:bidi w:val="0"/>
              <w:spacing w:after="0"/>
              <w:rPr>
                <w:rFonts w:ascii="Arial" w:hAnsi="Arial" w:cs="Arial" w:eastAsiaTheme="minorEastAsia"/>
                <w:bCs/>
                <w:color w:val="000000"/>
                <w:sz w:val="18"/>
                <w:szCs w:val="18"/>
                <w:lang w:eastAsia="zh-CN"/>
              </w:rPr>
            </w:pPr>
            <w:r>
              <w:rPr>
                <w:rFonts w:ascii="Arial" w:hAnsi="Arial" w:cs="Arial" w:eastAsiaTheme="minorEastAsia"/>
                <w:bCs/>
                <w:color w:val="000000"/>
                <w:sz w:val="18"/>
                <w:szCs w:val="18"/>
                <w:lang w:eastAsia="zh-CN"/>
              </w:rPr>
              <w:t xml:space="preserve">Note 1: </w:t>
            </w:r>
            <w:r>
              <w:rPr>
                <w:lang w:eastAsia="ja-JP"/>
              </w:rPr>
              <w:t xml:space="preserve">The requirements should be verified for UL EARFCN or  NR ARFCN of the aggressor (lower) band (superscript LB) such that </w:t>
            </w:r>
            <w:r>
              <w:rPr>
                <w:snapToGrid w:val="0"/>
                <w:position w:val="-12"/>
                <w:lang w:eastAsia="ja-JP"/>
              </w:rPr>
              <w:object>
                <v:shape id="_x0000_i1025" o:spt="75" type="#_x0000_t75" style="height:13.65pt;width:78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r>
              <w:rPr>
                <w:snapToGrid w:val="0"/>
                <w:lang w:eastAsia="ja-JP"/>
              </w:rPr>
              <w:t xml:space="preserve">in MHz and </w:t>
            </w:r>
            <w:r>
              <w:rPr>
                <w:position w:val="-14"/>
              </w:rPr>
              <w:object>
                <v:shape id="_x0000_i1026" o:spt="75" type="#_x0000_t75" style="height:13.65pt;width:201.8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bookmarkEnd w:id="10"/>
    </w:tbl>
    <w:p>
      <w:pPr>
        <w:keepNext/>
        <w:keepLines/>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eastAsia="MS Mincho"/>
          <w:bCs/>
          <w:kern w:val="0"/>
          <w:sz w:val="20"/>
          <w:highlight w:val="none"/>
        </w:rPr>
      </w:pPr>
      <w:r>
        <w:rPr>
          <w:rFonts w:hint="eastAsia"/>
          <w:bCs/>
          <w:kern w:val="0"/>
          <w:sz w:val="20"/>
          <w:highlight w:val="none"/>
          <w:lang w:val="en-US" w:eastAsia="zh-CN"/>
        </w:rPr>
        <w:t>It can be seen that there were still some open issue, such as second MSD test point and how to capture it in the new table format.  In this contribution, we give our consideration on these issue.</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eastAsia="zh-TW"/>
        </w:rPr>
      </w:pPr>
      <w:bookmarkStart w:id="11" w:name="OLE_LINK66"/>
      <w:r>
        <w:rPr>
          <w:rFonts w:hint="eastAsia" w:cs="Times New Roman"/>
          <w:b w:val="0"/>
          <w:bCs w:val="0"/>
          <w:kern w:val="0"/>
          <w:sz w:val="20"/>
          <w:szCs w:val="20"/>
          <w:highlight w:val="none"/>
          <w:lang w:val="en-US" w:eastAsia="zh-CN"/>
        </w:rPr>
        <w:t xml:space="preserve">In terms of the WF, it was already agreed that the </w:t>
      </w:r>
      <w:bookmarkStart w:id="12" w:name="OLE_LINK9"/>
      <w:r>
        <w:rPr>
          <w:rFonts w:hint="eastAsia" w:cs="Times New Roman"/>
          <w:b w:val="0"/>
          <w:bCs w:val="0"/>
          <w:kern w:val="0"/>
          <w:sz w:val="20"/>
          <w:szCs w:val="20"/>
          <w:highlight w:val="none"/>
          <w:lang w:val="en-US" w:eastAsia="zh-CN"/>
        </w:rPr>
        <w:t>minimum victim downlink channel bandwidth</w:t>
      </w:r>
      <w:bookmarkEnd w:id="12"/>
      <w:r>
        <w:rPr>
          <w:rFonts w:hint="eastAsia" w:cs="Times New Roman"/>
          <w:b w:val="0"/>
          <w:bCs w:val="0"/>
          <w:kern w:val="0"/>
          <w:sz w:val="20"/>
          <w:szCs w:val="20"/>
          <w:highlight w:val="none"/>
          <w:lang w:val="en-US" w:eastAsia="zh-CN"/>
        </w:rPr>
        <w:t xml:space="preserve"> was the one test point in the case when 2 MSD test points can be considered at least. The reason for selecting the </w:t>
      </w:r>
      <w:bookmarkStart w:id="13" w:name="OLE_LINK10"/>
      <w:r>
        <w:rPr>
          <w:rFonts w:hint="eastAsia" w:cs="Times New Roman"/>
          <w:b w:val="0"/>
          <w:bCs w:val="0"/>
          <w:kern w:val="0"/>
          <w:sz w:val="20"/>
          <w:szCs w:val="20"/>
          <w:highlight w:val="none"/>
          <w:lang w:val="en-US" w:eastAsia="zh-CN"/>
        </w:rPr>
        <w:t>minimum victim downlink channel bandwidth</w:t>
      </w:r>
      <w:bookmarkEnd w:id="13"/>
      <w:r>
        <w:rPr>
          <w:rFonts w:hint="eastAsia" w:cs="Times New Roman"/>
          <w:b w:val="0"/>
          <w:bCs w:val="0"/>
          <w:kern w:val="0"/>
          <w:sz w:val="20"/>
          <w:szCs w:val="20"/>
          <w:highlight w:val="none"/>
          <w:lang w:val="en-US" w:eastAsia="zh-CN"/>
        </w:rPr>
        <w:t xml:space="preserve"> was that</w:t>
      </w:r>
      <w:r>
        <w:rPr>
          <w:rFonts w:hint="eastAsia"/>
          <w:sz w:val="20"/>
          <w:szCs w:val="20"/>
          <w:lang w:eastAsia="zh-TW"/>
        </w:rPr>
        <w:t xml:space="preserve"> it</w:t>
      </w:r>
      <w:r>
        <w:rPr>
          <w:rFonts w:hint="eastAsia"/>
          <w:sz w:val="20"/>
          <w:szCs w:val="20"/>
          <w:lang w:val="en-US" w:eastAsia="zh-CN"/>
        </w:rPr>
        <w:t xml:space="preserve"> usually</w:t>
      </w:r>
      <w:r>
        <w:rPr>
          <w:rFonts w:hint="eastAsia"/>
          <w:sz w:val="20"/>
          <w:szCs w:val="20"/>
          <w:lang w:eastAsia="zh-TW"/>
        </w:rPr>
        <w:t xml:space="preserve"> provides the </w:t>
      </w:r>
      <w:bookmarkStart w:id="14" w:name="OLE_LINK16"/>
      <w:r>
        <w:rPr>
          <w:rFonts w:hint="eastAsia"/>
          <w:sz w:val="20"/>
          <w:szCs w:val="20"/>
          <w:lang w:eastAsia="zh-TW"/>
        </w:rPr>
        <w:t>worst MSD levels</w:t>
      </w:r>
      <w:bookmarkEnd w:id="14"/>
      <w:r>
        <w:rPr>
          <w:rFonts w:hint="eastAsia"/>
          <w:sz w:val="20"/>
          <w:szCs w:val="20"/>
          <w:lang w:eastAsia="zh-TW"/>
        </w:rPr>
        <w:t>.</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sz w:val="20"/>
          <w:szCs w:val="20"/>
          <w:lang w:val="en-US" w:eastAsia="zh-CN"/>
        </w:rPr>
        <w:t xml:space="preserve">The other </w:t>
      </w:r>
      <w:bookmarkStart w:id="15" w:name="OLE_LINK11"/>
      <w:r>
        <w:rPr>
          <w:rFonts w:hint="eastAsia"/>
          <w:sz w:val="20"/>
          <w:szCs w:val="20"/>
          <w:lang w:val="en-US" w:eastAsia="zh-CN"/>
        </w:rPr>
        <w:t>test points</w:t>
      </w:r>
      <w:bookmarkEnd w:id="15"/>
      <w:r>
        <w:rPr>
          <w:rFonts w:hint="eastAsia"/>
          <w:sz w:val="20"/>
          <w:szCs w:val="20"/>
          <w:lang w:val="en-US" w:eastAsia="zh-CN"/>
        </w:rPr>
        <w:t xml:space="preserve"> which was to adopt the </w:t>
      </w:r>
      <w:r>
        <w:rPr>
          <w:rFonts w:hint="eastAsia" w:cs="Times New Roman"/>
          <w:b w:val="0"/>
          <w:bCs w:val="0"/>
          <w:kern w:val="0"/>
          <w:sz w:val="20"/>
          <w:szCs w:val="20"/>
          <w:highlight w:val="none"/>
          <w:lang w:val="en-US" w:eastAsia="zh-CN"/>
        </w:rPr>
        <w:t xml:space="preserve">maximum victim downlink channel bandwidth was proposed in [3] with some reasons like it is more attractive to use larger channel bandwidths </w:t>
      </w:r>
      <w:r>
        <w:rPr>
          <w:rFonts w:hint="eastAsia"/>
          <w:sz w:val="20"/>
          <w:szCs w:val="20"/>
          <w:lang w:eastAsia="zh-TW"/>
        </w:rPr>
        <w:t>(ex: larger than 50MHz)</w:t>
      </w:r>
      <w:r>
        <w:rPr>
          <w:rFonts w:hint="eastAsia"/>
          <w:sz w:val="20"/>
          <w:szCs w:val="20"/>
          <w:lang w:val="en-US" w:eastAsia="zh-CN"/>
        </w:rPr>
        <w:t xml:space="preserve"> for single carrier operation </w:t>
      </w:r>
      <w:r>
        <w:rPr>
          <w:rFonts w:hint="eastAsia" w:cs="Times New Roman"/>
          <w:b w:val="0"/>
          <w:bCs w:val="0"/>
          <w:kern w:val="0"/>
          <w:sz w:val="20"/>
          <w:szCs w:val="20"/>
          <w:highlight w:val="none"/>
          <w:lang w:val="en-US" w:eastAsia="zh-CN"/>
        </w:rPr>
        <w:t>in the real NR deployment, especially for band n77/n78/n79.</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sz w:val="20"/>
          <w:szCs w:val="20"/>
          <w:lang w:val="en-US" w:eastAsia="zh-CN"/>
        </w:rPr>
      </w:pPr>
      <w:r>
        <w:rPr>
          <w:rFonts w:hint="eastAsia"/>
          <w:sz w:val="20"/>
          <w:szCs w:val="20"/>
          <w:lang w:val="en-US" w:eastAsia="zh-CN"/>
        </w:rPr>
        <w:t xml:space="preserve">The key point is whether another test points (other than </w:t>
      </w:r>
      <w:r>
        <w:rPr>
          <w:rFonts w:hint="eastAsia" w:cs="Times New Roman"/>
          <w:b w:val="0"/>
          <w:bCs w:val="0"/>
          <w:kern w:val="0"/>
          <w:sz w:val="20"/>
          <w:szCs w:val="20"/>
          <w:highlight w:val="none"/>
          <w:lang w:val="en-US" w:eastAsia="zh-CN"/>
        </w:rPr>
        <w:t xml:space="preserve">minimum victim downlink channel bandwidth) </w:t>
      </w:r>
      <w:r>
        <w:rPr>
          <w:rFonts w:hint="eastAsia"/>
          <w:sz w:val="20"/>
          <w:szCs w:val="20"/>
          <w:lang w:val="en-US" w:eastAsia="zh-CN"/>
        </w:rPr>
        <w:t>should be adopted?</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kern w:val="0"/>
          <w:sz w:val="20"/>
          <w:szCs w:val="20"/>
          <w:highlight w:val="none"/>
          <w:lang w:val="en-US" w:eastAsia="zh-CN"/>
        </w:rPr>
      </w:pPr>
      <w:r>
        <w:rPr>
          <w:rFonts w:hint="eastAsia" w:cs="Times New Roman"/>
          <w:b w:val="0"/>
          <w:bCs w:val="0"/>
          <w:kern w:val="0"/>
          <w:sz w:val="20"/>
          <w:szCs w:val="20"/>
          <w:highlight w:val="none"/>
          <w:lang w:val="en-US" w:eastAsia="zh-CN"/>
        </w:rPr>
        <w:t xml:space="preserve">For the </w:t>
      </w:r>
      <w:bookmarkStart w:id="16" w:name="OLE_LINK12"/>
      <w:r>
        <w:rPr>
          <w:rFonts w:hint="eastAsia" w:cs="Times New Roman"/>
          <w:b w:val="0"/>
          <w:bCs w:val="0"/>
          <w:kern w:val="0"/>
          <w:sz w:val="20"/>
          <w:szCs w:val="20"/>
          <w:highlight w:val="none"/>
          <w:lang w:val="en-US" w:eastAsia="zh-CN"/>
        </w:rPr>
        <w:t>REFSEN</w:t>
      </w:r>
      <w:bookmarkEnd w:id="16"/>
      <w:r>
        <w:rPr>
          <w:rFonts w:hint="eastAsia" w:cs="Times New Roman"/>
          <w:b w:val="0"/>
          <w:bCs w:val="0"/>
          <w:kern w:val="0"/>
          <w:sz w:val="20"/>
          <w:szCs w:val="20"/>
          <w:highlight w:val="none"/>
          <w:lang w:val="en-US" w:eastAsia="zh-CN"/>
        </w:rPr>
        <w:t xml:space="preserve"> exception due to MSD, the actually REFSEN for a band in NR CA/DC configuration= </w:t>
      </w:r>
      <w:bookmarkStart w:id="17" w:name="OLE_LINK13"/>
      <w:r>
        <w:rPr>
          <w:rFonts w:hint="eastAsia" w:cs="Times New Roman"/>
          <w:b w:val="0"/>
          <w:bCs w:val="0"/>
          <w:kern w:val="0"/>
          <w:sz w:val="20"/>
          <w:szCs w:val="20"/>
          <w:highlight w:val="none"/>
          <w:lang w:val="en-US" w:eastAsia="zh-CN"/>
        </w:rPr>
        <w:t>REFSEN in single carrier</w:t>
      </w:r>
      <w:bookmarkEnd w:id="17"/>
      <w:r>
        <w:rPr>
          <w:rFonts w:hint="eastAsia" w:cs="Times New Roman"/>
          <w:b w:val="0"/>
          <w:bCs w:val="0"/>
          <w:kern w:val="0"/>
          <w:sz w:val="20"/>
          <w:szCs w:val="20"/>
          <w:highlight w:val="none"/>
          <w:lang w:val="en-US" w:eastAsia="zh-CN"/>
        </w:rPr>
        <w:t xml:space="preserve"> + MSD. Considering the REFSEN in single carrier are different with channel bandwidths, largest MSD value does not mean the worst REFSEN requirements for all the channel bandwidths. For a TDD band for example band n77, the REFSEN difference for 30kHz SCS between 5MHz and 100MHz equals to ~10.</w:t>
      </w:r>
      <w:r>
        <w:rPr>
          <w:rFonts w:hint="default" w:cs="Times New Roman"/>
          <w:b w:val="0"/>
          <w:bCs w:val="0"/>
          <w:kern w:val="0"/>
          <w:sz w:val="20"/>
          <w:szCs w:val="20"/>
          <w:highlight w:val="none"/>
          <w:lang w:val="en-US" w:eastAsia="zh-CN"/>
        </w:rPr>
        <w:t>5</w:t>
      </w:r>
      <w:r>
        <w:rPr>
          <w:rFonts w:hint="eastAsia" w:cs="Times New Roman"/>
          <w:b w:val="0"/>
          <w:bCs w:val="0"/>
          <w:kern w:val="0"/>
          <w:sz w:val="20"/>
          <w:szCs w:val="20"/>
          <w:highlight w:val="none"/>
          <w:lang w:val="en-US" w:eastAsia="zh-CN"/>
        </w:rPr>
        <w:t xml:space="preserve">dB (i.e. </w:t>
      </w:r>
      <w:r>
        <w:rPr>
          <w:rFonts w:hint="eastAsia" w:ascii="Times New Roman" w:hAnsi="Times New Roman" w:eastAsia="宋体" w:cs="Times New Roman"/>
          <w:kern w:val="0"/>
          <w:sz w:val="20"/>
          <w:szCs w:val="20"/>
          <w:highlight w:val="none"/>
          <w:lang w:val="en-US" w:eastAsia="zh-CN"/>
        </w:rPr>
        <w:t>10log</w:t>
      </w:r>
      <w:r>
        <w:rPr>
          <w:rFonts w:hint="eastAsia" w:ascii="Times New Roman" w:hAnsi="Times New Roman" w:eastAsia="宋体" w:cs="Times New Roman"/>
          <w:kern w:val="0"/>
          <w:sz w:val="20"/>
          <w:szCs w:val="20"/>
          <w:highlight w:val="none"/>
          <w:vertAlign w:val="subscript"/>
          <w:lang w:val="en-US" w:eastAsia="zh-CN"/>
        </w:rPr>
        <w:t>10</w:t>
      </w:r>
      <w:r>
        <w:rPr>
          <w:rFonts w:hint="eastAsia" w:ascii="Times New Roman" w:hAnsi="Times New Roman" w:eastAsia="宋体" w:cs="Times New Roman"/>
          <w:kern w:val="0"/>
          <w:sz w:val="20"/>
          <w:szCs w:val="20"/>
          <w:highlight w:val="none"/>
          <w:lang w:val="en-US" w:eastAsia="zh-CN"/>
        </w:rPr>
        <w:t>(</w:t>
      </w:r>
      <w:r>
        <w:rPr>
          <w:rFonts w:hint="eastAsia" w:ascii="Times New Roman" w:hAnsi="Times New Roman" w:cs="Times New Roman"/>
          <w:kern w:val="0"/>
          <w:sz w:val="20"/>
          <w:szCs w:val="20"/>
          <w:highlight w:val="none"/>
          <w:lang w:val="en-US" w:eastAsia="zh-CN"/>
        </w:rPr>
        <w:t>270</w:t>
      </w:r>
      <w:r>
        <w:rPr>
          <w:rFonts w:hint="eastAsia" w:ascii="Times New Roman" w:hAnsi="Times New Roman" w:eastAsia="宋体" w:cs="Times New Roman"/>
          <w:kern w:val="0"/>
          <w:sz w:val="20"/>
          <w:szCs w:val="20"/>
          <w:highlight w:val="none"/>
          <w:lang w:val="en-US" w:eastAsia="zh-CN"/>
        </w:rPr>
        <w:t>/2</w:t>
      </w:r>
      <w:r>
        <w:rPr>
          <w:rFonts w:hint="default" w:ascii="Times New Roman" w:hAnsi="Times New Roman" w:eastAsia="宋体" w:cs="Times New Roman"/>
          <w:kern w:val="0"/>
          <w:sz w:val="20"/>
          <w:szCs w:val="20"/>
          <w:highlight w:val="none"/>
          <w:lang w:val="en-US" w:eastAsia="zh-CN"/>
        </w:rPr>
        <w:t>4</w:t>
      </w:r>
      <w:r>
        <w:rPr>
          <w:rFonts w:hint="eastAsia" w:ascii="Times New Roman" w:hAnsi="Times New Roman" w:eastAsia="宋体" w:cs="Times New Roman"/>
          <w:kern w:val="0"/>
          <w:sz w:val="20"/>
          <w:szCs w:val="20"/>
          <w:highlight w:val="none"/>
          <w:lang w:val="en-US" w:eastAsia="zh-CN"/>
        </w:rPr>
        <w:t>)</w:t>
      </w:r>
      <w:r>
        <w:rPr>
          <w:rFonts w:hint="eastAsia" w:ascii="Times New Roman" w:hAnsi="Times New Roman" w:cs="Times New Roman"/>
          <w:kern w:val="0"/>
          <w:sz w:val="20"/>
          <w:szCs w:val="20"/>
          <w:highlight w:val="none"/>
          <w:lang w:val="en-US" w:eastAsia="zh-CN"/>
        </w:rPr>
        <w:t>)</w:t>
      </w:r>
      <w:r>
        <w:rPr>
          <w:rFonts w:hint="eastAsia" w:cs="Times New Roman"/>
          <w:kern w:val="0"/>
          <w:sz w:val="20"/>
          <w:szCs w:val="20"/>
          <w:highlight w:val="none"/>
          <w:lang w:val="en-US" w:eastAsia="zh-CN"/>
        </w:rPr>
        <w:t>, which means if the MSD distance is smaller than 10.</w:t>
      </w:r>
      <w:r>
        <w:rPr>
          <w:rFonts w:hint="default" w:cs="Times New Roman"/>
          <w:kern w:val="0"/>
          <w:sz w:val="20"/>
          <w:szCs w:val="20"/>
          <w:highlight w:val="none"/>
          <w:lang w:val="en-US" w:eastAsia="zh-CN"/>
        </w:rPr>
        <w:t>5</w:t>
      </w:r>
      <w:r>
        <w:rPr>
          <w:rFonts w:hint="eastAsia" w:cs="Times New Roman"/>
          <w:kern w:val="0"/>
          <w:sz w:val="20"/>
          <w:szCs w:val="20"/>
          <w:highlight w:val="none"/>
          <w:lang w:val="en-US" w:eastAsia="zh-CN"/>
        </w:rPr>
        <w:t xml:space="preserve">dB between min. And max. DL channel bandwidth for a certain band combination, then the largest MSD for 100MHz shows the </w:t>
      </w:r>
      <w:r>
        <w:rPr>
          <w:rFonts w:hint="eastAsia"/>
          <w:sz w:val="20"/>
          <w:szCs w:val="20"/>
          <w:lang w:eastAsia="zh-TW"/>
        </w:rPr>
        <w:t xml:space="preserve">worst </w:t>
      </w:r>
      <w:r>
        <w:rPr>
          <w:rFonts w:hint="eastAsia"/>
          <w:sz w:val="20"/>
          <w:szCs w:val="20"/>
          <w:lang w:val="en-US" w:eastAsia="zh-CN"/>
        </w:rPr>
        <w:t xml:space="preserve">REFSEN </w:t>
      </w:r>
      <w:r>
        <w:rPr>
          <w:rFonts w:hint="eastAsia"/>
          <w:sz w:val="20"/>
          <w:szCs w:val="20"/>
          <w:lang w:eastAsia="zh-TW"/>
        </w:rPr>
        <w:t>levels</w:t>
      </w:r>
      <w:r>
        <w:rPr>
          <w:rFonts w:hint="eastAsia" w:cs="Times New Roman"/>
          <w:kern w:val="0"/>
          <w:sz w:val="20"/>
          <w:szCs w:val="20"/>
          <w:highlight w:val="none"/>
          <w:lang w:val="en-US" w:eastAsia="zh-CN"/>
        </w:rPr>
        <w:t xml:space="preserve">. </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addition, when we look at the existing harmonic MSD table in current 38.101-1, we found for CA band combination n2-n48 and n66-n48, there were some restrictions on some channel bandwidths for the MSD definitions, shown below:</w:t>
      </w:r>
    </w:p>
    <w:p>
      <w:pPr>
        <w:pStyle w:val="53"/>
        <w:keepNext/>
        <w:keepLines/>
        <w:pageBreakBefore w:val="0"/>
        <w:widowControl w:val="0"/>
        <w:kinsoku/>
        <w:wordWrap/>
        <w:topLinePunct w:val="0"/>
        <w:bidi w:val="0"/>
      </w:pPr>
      <w:r>
        <w:rPr>
          <w:rFonts w:eastAsia="宋体"/>
        </w:rPr>
        <w:t xml:space="preserve">Table 7.3A.4-1: </w:t>
      </w:r>
      <w:r>
        <w:t xml:space="preserve">Reference sensitivity exceptions due to UL harmonic </w:t>
      </w:r>
      <w:r>
        <w:rPr>
          <w:rFonts w:eastAsia="宋体"/>
          <w:lang w:val="en-US" w:eastAsia="zh-CN"/>
        </w:rPr>
        <w:t xml:space="preserve">from a PC3 aggressor NR UL band </w:t>
      </w:r>
      <w:r>
        <w:t>for NR DL CA</w:t>
      </w:r>
      <w:r>
        <w:rPr>
          <w:rFonts w:eastAsia="宋体"/>
          <w:lang w:val="en-US" w:eastAsia="zh-CN"/>
        </w:rPr>
        <w:t xml:space="preserve"> </w:t>
      </w:r>
      <w:r>
        <w:t xml:space="preserve">FR1 </w:t>
      </w:r>
    </w:p>
    <w:tbl>
      <w:tblPr>
        <w:tblStyle w:val="20"/>
        <w:tblW w:w="43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879"/>
        <w:gridCol w:w="667"/>
        <w:gridCol w:w="667"/>
        <w:gridCol w:w="667"/>
        <w:gridCol w:w="667"/>
        <w:gridCol w:w="669"/>
        <w:gridCol w:w="669"/>
        <w:gridCol w:w="669"/>
        <w:gridCol w:w="797"/>
        <w:gridCol w:w="797"/>
        <w:gridCol w:w="882"/>
        <w:gridCol w:w="829"/>
        <w:gridCol w:w="797"/>
        <w:gridCol w:w="1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15"/>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bottom w:val="nil"/>
            </w:tcBorders>
            <w:shd w:val="clear" w:color="auto" w:fill="auto"/>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UL band</w:t>
            </w:r>
          </w:p>
        </w:tc>
        <w:tc>
          <w:tcPr>
            <w:tcW w:w="381" w:type="pct"/>
            <w:tcBorders>
              <w:bottom w:val="nil"/>
            </w:tcBorders>
            <w:shd w:val="clear" w:color="auto" w:fill="auto"/>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DL band</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cs="Arial"/>
                <w:bCs/>
                <w:szCs w:val="18"/>
                <w:highlight w:val="none"/>
              </w:rPr>
              <w:t>5 MHz</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cs="Arial"/>
                <w:bCs/>
                <w:szCs w:val="18"/>
                <w:highlight w:val="none"/>
              </w:rPr>
              <w:t>10 MHz</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cs="Arial"/>
                <w:bCs/>
                <w:szCs w:val="18"/>
                <w:highlight w:val="none"/>
              </w:rPr>
              <w:t>15 MHz</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cs="Arial"/>
                <w:bCs/>
                <w:szCs w:val="18"/>
                <w:highlight w:val="none"/>
              </w:rPr>
              <w:t>20 MHz</w:t>
            </w:r>
          </w:p>
        </w:tc>
        <w:tc>
          <w:tcPr>
            <w:tcW w:w="2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cs="Arial"/>
                <w:bCs/>
                <w:szCs w:val="18"/>
                <w:highlight w:val="none"/>
              </w:rPr>
              <w:t>25 MHz</w:t>
            </w:r>
          </w:p>
        </w:tc>
        <w:tc>
          <w:tcPr>
            <w:tcW w:w="2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hint="eastAsia" w:cs="Arial"/>
                <w:bCs/>
                <w:szCs w:val="18"/>
                <w:highlight w:val="none"/>
              </w:rPr>
              <w:t>30 MHz</w:t>
            </w:r>
          </w:p>
        </w:tc>
        <w:tc>
          <w:tcPr>
            <w:tcW w:w="2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lang w:val="en-US"/>
              </w:rPr>
            </w:pPr>
            <w:r>
              <w:rPr>
                <w:rFonts w:cs="Arial"/>
                <w:bCs/>
                <w:szCs w:val="18"/>
                <w:highlight w:val="none"/>
              </w:rPr>
              <w:t>40 MHz</w:t>
            </w:r>
          </w:p>
        </w:tc>
        <w:tc>
          <w:tcPr>
            <w:tcW w:w="346"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lang w:val="en-US"/>
              </w:rPr>
            </w:pPr>
            <w:r>
              <w:rPr>
                <w:rFonts w:cs="Arial"/>
                <w:bCs/>
                <w:szCs w:val="18"/>
                <w:highlight w:val="none"/>
              </w:rPr>
              <w:t>50 MHz</w:t>
            </w:r>
          </w:p>
        </w:tc>
        <w:tc>
          <w:tcPr>
            <w:tcW w:w="346"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lang w:val="en-US"/>
              </w:rPr>
            </w:pPr>
            <w:r>
              <w:rPr>
                <w:rFonts w:cs="Arial"/>
                <w:bCs/>
                <w:szCs w:val="18"/>
                <w:highlight w:val="none"/>
              </w:rPr>
              <w:t>60 MHz</w:t>
            </w:r>
          </w:p>
        </w:tc>
        <w:tc>
          <w:tcPr>
            <w:tcW w:w="383" w:type="pct"/>
          </w:tcPr>
          <w:p>
            <w:pPr>
              <w:keepNext/>
              <w:keepLines/>
              <w:pageBreakBefore w:val="0"/>
              <w:widowControl w:val="0"/>
              <w:kinsoku/>
              <w:wordWrap/>
              <w:overflowPunct/>
              <w:topLinePunct w:val="0"/>
              <w:autoSpaceDE/>
              <w:autoSpaceDN/>
              <w:bidi w:val="0"/>
              <w:adjustRightInd/>
              <w:snapToGrid/>
              <w:spacing w:beforeLines="0" w:afterLines="0" w:line="240" w:lineRule="auto"/>
              <w:jc w:val="center"/>
              <w:textAlignment w:val="auto"/>
              <w:rPr>
                <w:rFonts w:ascii="Arial" w:hAnsi="Arial" w:eastAsia="宋体" w:cs="Arial"/>
                <w:b/>
                <w:bCs/>
                <w:sz w:val="18"/>
                <w:szCs w:val="18"/>
                <w:highlight w:val="none"/>
                <w:lang w:val="en-US" w:eastAsia="zh-CN"/>
              </w:rPr>
            </w:pPr>
            <w:r>
              <w:rPr>
                <w:rFonts w:hint="eastAsia" w:ascii="Arial" w:hAnsi="Arial" w:eastAsia="宋体" w:cs="Arial"/>
                <w:b/>
                <w:bCs/>
                <w:sz w:val="18"/>
                <w:szCs w:val="18"/>
                <w:highlight w:val="none"/>
                <w:lang w:val="en-US" w:eastAsia="zh-CN"/>
              </w:rPr>
              <w:t>70</w:t>
            </w:r>
          </w:p>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hint="eastAsia" w:eastAsia="宋体" w:cs="Arial"/>
                <w:bCs/>
                <w:szCs w:val="18"/>
                <w:highlight w:val="none"/>
                <w:lang w:val="en-US" w:eastAsia="zh-CN"/>
              </w:rPr>
              <w:t>MHz</w:t>
            </w:r>
          </w:p>
        </w:tc>
        <w:tc>
          <w:tcPr>
            <w:tcW w:w="36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lang w:val="en-US"/>
              </w:rPr>
            </w:pPr>
            <w:r>
              <w:rPr>
                <w:rFonts w:cs="Arial"/>
                <w:bCs/>
                <w:szCs w:val="18"/>
                <w:highlight w:val="none"/>
              </w:rPr>
              <w:t>80 MHz</w:t>
            </w:r>
          </w:p>
        </w:tc>
        <w:tc>
          <w:tcPr>
            <w:tcW w:w="346"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rPr>
            </w:pPr>
            <w:r>
              <w:rPr>
                <w:rFonts w:cs="Arial"/>
                <w:bCs/>
                <w:szCs w:val="18"/>
                <w:highlight w:val="none"/>
              </w:rPr>
              <w:t>90 MHz</w:t>
            </w:r>
          </w:p>
        </w:tc>
        <w:tc>
          <w:tcPr>
            <w:tcW w:w="4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cs="Arial"/>
                <w:bCs/>
                <w:szCs w:val="18"/>
                <w:highlight w:val="none"/>
                <w:lang w:val="en-US"/>
              </w:rPr>
            </w:pPr>
            <w:r>
              <w:rPr>
                <w:rFonts w:cs="Arial"/>
                <w:bCs/>
                <w:szCs w:val="18"/>
                <w:highlight w:val="none"/>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top w:val="nil"/>
              <w:bottom w:val="single" w:color="auto" w:sz="4" w:space="0"/>
            </w:tcBorders>
            <w:shd w:val="clear" w:color="auto" w:fill="auto"/>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1" w:type="pct"/>
            <w:tcBorders>
              <w:top w:val="nil"/>
            </w:tcBorders>
            <w:shd w:val="clear" w:color="auto" w:fill="auto"/>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289"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2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2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eastAsia="zh-CN"/>
              </w:rPr>
            </w:pPr>
            <w:r>
              <w:rPr>
                <w:rFonts w:hint="eastAsia" w:eastAsia="宋体"/>
                <w:highlight w:val="none"/>
                <w:lang w:eastAsia="zh-CN"/>
              </w:rPr>
              <w:t>dB</w:t>
            </w:r>
          </w:p>
        </w:tc>
        <w:tc>
          <w:tcPr>
            <w:tcW w:w="2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346"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346"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383"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36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346"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c>
          <w:tcPr>
            <w:tcW w:w="490" w:type="pct"/>
          </w:tcPr>
          <w:p>
            <w:pPr>
              <w:pStyle w:val="62"/>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15" w:type="pct"/>
            <w:tcBorders>
              <w:bottom w:val="nil"/>
            </w:tcBorders>
            <w:shd w:val="clear" w:color="auto" w:fill="auto"/>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n1</w:t>
            </w:r>
          </w:p>
        </w:tc>
        <w:tc>
          <w:tcPr>
            <w:tcW w:w="381"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rPr>
              <w:t>n7</w:t>
            </w:r>
            <w:r>
              <w:rPr>
                <w:highlight w:val="none"/>
              </w:rPr>
              <w:t>7</w:t>
            </w:r>
            <w:r>
              <w:rPr>
                <w:rFonts w:hint="eastAsia"/>
                <w:highlight w:val="none"/>
                <w:vertAlign w:val="superscript"/>
              </w:rPr>
              <w:t>1,2</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23.9</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22.1</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20.9</w:t>
            </w: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19.8</w:t>
            </w: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19.0</w:t>
            </w: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17.9</w:t>
            </w: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16.8</w:t>
            </w: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16.0</w:t>
            </w:r>
          </w:p>
        </w:tc>
        <w:tc>
          <w:tcPr>
            <w:tcW w:w="383"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15.0</w:t>
            </w:r>
          </w:p>
        </w:tc>
        <w:tc>
          <w:tcPr>
            <w:tcW w:w="36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14.8</w:t>
            </w: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14.3</w:t>
            </w:r>
          </w:p>
        </w:tc>
        <w:tc>
          <w:tcPr>
            <w:tcW w:w="4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top w:val="nil"/>
              <w:bottom w:val="single" w:color="auto" w:sz="4" w:space="0"/>
            </w:tcBorders>
            <w:shd w:val="clear" w:color="auto" w:fill="auto"/>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1"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rPr>
              <w:t>n7</w:t>
            </w:r>
            <w:r>
              <w:rPr>
                <w:highlight w:val="none"/>
              </w:rPr>
              <w:t>7</w:t>
            </w:r>
            <w:r>
              <w:rPr>
                <w:rFonts w:hint="eastAsia"/>
                <w:highlight w:val="none"/>
                <w:vertAlign w:val="superscript"/>
              </w:rPr>
              <w:t>3</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1.1</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0.8</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0.3</w:t>
            </w: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3"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6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4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bottom w:val="nil"/>
            </w:tcBorders>
            <w:shd w:val="clear" w:color="auto" w:fill="auto"/>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n2</w:t>
            </w:r>
          </w:p>
        </w:tc>
        <w:tc>
          <w:tcPr>
            <w:tcW w:w="381"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eastAsia="zh-CN"/>
              </w:rPr>
              <w:t>n48</w:t>
            </w:r>
            <w:r>
              <w:rPr>
                <w:highlight w:val="none"/>
                <w:vertAlign w:val="superscript"/>
              </w:rPr>
              <w:t>1, 2</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27.1</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23.9</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22.1</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20.9</w:t>
            </w: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17.9</w:t>
            </w: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16.9</w:t>
            </w:r>
            <w:r>
              <w:rPr>
                <w:rFonts w:hint="eastAsia" w:cs="Arial"/>
                <w:highlight w:val="yellow"/>
                <w:vertAlign w:val="superscript"/>
                <w:lang w:val="en-US" w:eastAsia="zh-CN"/>
              </w:rPr>
              <w:t>12</w:t>
            </w: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16.1</w:t>
            </w:r>
            <w:r>
              <w:rPr>
                <w:rFonts w:hint="eastAsia" w:cs="Arial"/>
                <w:highlight w:val="yellow"/>
                <w:vertAlign w:val="superscript"/>
                <w:lang w:val="en-US" w:eastAsia="zh-CN"/>
              </w:rPr>
              <w:t>12</w:t>
            </w:r>
          </w:p>
        </w:tc>
        <w:tc>
          <w:tcPr>
            <w:tcW w:w="383"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p>
        </w:tc>
        <w:tc>
          <w:tcPr>
            <w:tcW w:w="36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14.8</w:t>
            </w:r>
            <w:r>
              <w:rPr>
                <w:rFonts w:hint="eastAsia" w:cs="Arial"/>
                <w:highlight w:val="yellow"/>
                <w:vertAlign w:val="superscript"/>
                <w:lang w:val="en-US" w:eastAsia="zh-CN"/>
              </w:rPr>
              <w:t>12</w:t>
            </w: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14.3</w:t>
            </w:r>
            <w:r>
              <w:rPr>
                <w:rFonts w:hint="eastAsia" w:cs="Arial"/>
                <w:highlight w:val="yellow"/>
                <w:vertAlign w:val="superscript"/>
                <w:lang w:val="en-US" w:eastAsia="zh-CN"/>
              </w:rPr>
              <w:t>12</w:t>
            </w:r>
          </w:p>
        </w:tc>
        <w:tc>
          <w:tcPr>
            <w:tcW w:w="4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13.8</w:t>
            </w:r>
            <w:r>
              <w:rPr>
                <w:rFonts w:hint="eastAsia" w:cs="Arial"/>
                <w:highlight w:val="yellow"/>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top w:val="nil"/>
              <w:bottom w:val="single" w:color="auto" w:sz="4" w:space="0"/>
            </w:tcBorders>
            <w:shd w:val="clear" w:color="auto" w:fill="auto"/>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1"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lang w:eastAsia="zh-CN"/>
              </w:rPr>
              <w:t>n</w:t>
            </w:r>
            <w:r>
              <w:rPr>
                <w:rFonts w:hint="eastAsia"/>
                <w:highlight w:val="none"/>
                <w:lang w:eastAsia="zh-CN"/>
              </w:rPr>
              <w:t>48</w:t>
            </w:r>
            <w:r>
              <w:rPr>
                <w:rFonts w:hint="eastAsia"/>
                <w:highlight w:val="none"/>
                <w:vertAlign w:val="superscript"/>
                <w:lang w:eastAsia="zh-CN"/>
              </w:rPr>
              <w:t>3</w:t>
            </w:r>
          </w:p>
        </w:tc>
        <w:tc>
          <w:tcPr>
            <w:tcW w:w="289"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1.9</w:t>
            </w:r>
          </w:p>
        </w:tc>
        <w:tc>
          <w:tcPr>
            <w:tcW w:w="289"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1.1</w:t>
            </w:r>
          </w:p>
        </w:tc>
        <w:tc>
          <w:tcPr>
            <w:tcW w:w="289"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0.8</w:t>
            </w:r>
          </w:p>
        </w:tc>
        <w:tc>
          <w:tcPr>
            <w:tcW w:w="289"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lang w:val="en-US" w:eastAsia="zh-CN"/>
              </w:rPr>
            </w:pPr>
            <w:r>
              <w:rPr>
                <w:rFonts w:hint="eastAsia"/>
                <w:highlight w:val="none"/>
                <w:lang w:val="en-US" w:eastAsia="zh-CN"/>
              </w:rPr>
              <w:t>0.3</w:t>
            </w:r>
          </w:p>
        </w:tc>
        <w:tc>
          <w:tcPr>
            <w:tcW w:w="290"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3"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60"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490" w:type="pct"/>
            <w:tcBorders>
              <w:bottom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15"/>
            <w:tcBorders>
              <w:top w:val="single" w:color="auto" w:sz="4" w:space="0"/>
              <w:bottom w:val="single" w:color="auto" w:sz="4" w:space="0"/>
            </w:tcBorders>
            <w:shd w:val="clear" w:color="auto" w:fill="auto"/>
          </w:tcPr>
          <w:p>
            <w:pPr>
              <w:pStyle w:val="54"/>
              <w:keepNext/>
              <w:keepLines/>
              <w:pageBreakBefore w:val="0"/>
              <w:widowControl w:val="0"/>
              <w:tabs>
                <w:tab w:val="left" w:pos="485"/>
              </w:tabs>
              <w:kinsoku/>
              <w:wordWrap/>
              <w:overflowPunct/>
              <w:topLinePunct w:val="0"/>
              <w:autoSpaceDE/>
              <w:autoSpaceDN/>
              <w:bidi w:val="0"/>
              <w:adjustRightInd/>
              <w:snapToGrid/>
              <w:spacing w:beforeLines="0" w:afterLines="0" w:line="240" w:lineRule="auto"/>
              <w:jc w:val="left"/>
              <w:textAlignment w:val="auto"/>
              <w:rPr>
                <w:rFonts w:hint="default" w:eastAsia="宋体"/>
                <w:highlight w:val="none"/>
                <w:lang w:val="en-US" w:eastAsia="zh-CN"/>
              </w:rPr>
            </w:pPr>
            <w:r>
              <w:rPr>
                <w:rFonts w:hint="eastAsia"/>
                <w:highlight w:val="none"/>
                <w:lang w:eastAsia="zh-CN"/>
              </w:rPr>
              <w:tab/>
            </w:r>
            <w:bookmarkStart w:id="18" w:name="OLE_LINK2"/>
            <w:r>
              <w:rPr>
                <w:rFonts w:hint="eastAsia"/>
                <w:highlight w:val="none"/>
                <w:lang w:val="en-US" w:eastAsia="zh-CN"/>
              </w:rPr>
              <w:t>.....</w:t>
            </w:r>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top w:val="single" w:color="auto" w:sz="4" w:space="0"/>
              <w:bottom w:val="nil"/>
            </w:tcBorders>
            <w:shd w:val="clear" w:color="auto" w:fill="auto"/>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n66</w:t>
            </w:r>
          </w:p>
        </w:tc>
        <w:tc>
          <w:tcPr>
            <w:tcW w:w="381"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eastAsia="zh-CN"/>
              </w:rPr>
              <w:t>n48</w:t>
            </w:r>
            <w:r>
              <w:rPr>
                <w:highlight w:val="none"/>
                <w:vertAlign w:val="superscript"/>
              </w:rPr>
              <w:t>1,2</w:t>
            </w:r>
          </w:p>
        </w:tc>
        <w:tc>
          <w:tcPr>
            <w:tcW w:w="289"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27.1</w:t>
            </w:r>
          </w:p>
        </w:tc>
        <w:tc>
          <w:tcPr>
            <w:tcW w:w="289"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23.9</w:t>
            </w:r>
          </w:p>
        </w:tc>
        <w:tc>
          <w:tcPr>
            <w:tcW w:w="289"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22.1</w:t>
            </w:r>
          </w:p>
        </w:tc>
        <w:tc>
          <w:tcPr>
            <w:tcW w:w="289"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20.9</w:t>
            </w:r>
          </w:p>
        </w:tc>
        <w:tc>
          <w:tcPr>
            <w:tcW w:w="290"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19.1</w:t>
            </w:r>
          </w:p>
        </w:tc>
        <w:tc>
          <w:tcPr>
            <w:tcW w:w="290"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17.9</w:t>
            </w:r>
          </w:p>
        </w:tc>
        <w:tc>
          <w:tcPr>
            <w:tcW w:w="346"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16.9</w:t>
            </w:r>
            <w:r>
              <w:rPr>
                <w:rFonts w:hint="eastAsia" w:cs="Arial"/>
                <w:highlight w:val="yellow"/>
                <w:vertAlign w:val="superscript"/>
                <w:lang w:val="en-US" w:eastAsia="zh-CN"/>
              </w:rPr>
              <w:t>12</w:t>
            </w:r>
          </w:p>
        </w:tc>
        <w:tc>
          <w:tcPr>
            <w:tcW w:w="346"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16.1</w:t>
            </w:r>
            <w:r>
              <w:rPr>
                <w:rFonts w:hint="eastAsia" w:cs="Arial"/>
                <w:highlight w:val="yellow"/>
                <w:vertAlign w:val="superscript"/>
                <w:lang w:val="en-US" w:eastAsia="zh-CN"/>
              </w:rPr>
              <w:t>12</w:t>
            </w:r>
          </w:p>
        </w:tc>
        <w:tc>
          <w:tcPr>
            <w:tcW w:w="383"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lang w:val="en-US" w:eastAsia="zh-CN"/>
              </w:rPr>
            </w:pPr>
            <w:r>
              <w:rPr>
                <w:highlight w:val="yellow"/>
                <w:lang w:val="en-US" w:eastAsia="zh-CN"/>
              </w:rPr>
              <w:t>15.5</w:t>
            </w:r>
            <w:r>
              <w:rPr>
                <w:rFonts w:hint="eastAsia" w:cs="Arial"/>
                <w:highlight w:val="yellow"/>
                <w:vertAlign w:val="superscript"/>
                <w:lang w:val="en-US" w:eastAsia="zh-CN"/>
              </w:rPr>
              <w:t>12</w:t>
            </w:r>
          </w:p>
        </w:tc>
        <w:tc>
          <w:tcPr>
            <w:tcW w:w="360"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14.8</w:t>
            </w:r>
            <w:r>
              <w:rPr>
                <w:rFonts w:hint="eastAsia" w:cs="Arial"/>
                <w:highlight w:val="yellow"/>
                <w:vertAlign w:val="superscript"/>
                <w:lang w:val="en-US" w:eastAsia="zh-CN"/>
              </w:rPr>
              <w:t>12</w:t>
            </w:r>
          </w:p>
        </w:tc>
        <w:tc>
          <w:tcPr>
            <w:tcW w:w="346"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14.3</w:t>
            </w:r>
            <w:r>
              <w:rPr>
                <w:rFonts w:hint="eastAsia" w:cs="Arial"/>
                <w:highlight w:val="yellow"/>
                <w:vertAlign w:val="superscript"/>
                <w:lang w:val="en-US" w:eastAsia="zh-CN"/>
              </w:rPr>
              <w:t>12</w:t>
            </w:r>
          </w:p>
        </w:tc>
        <w:tc>
          <w:tcPr>
            <w:tcW w:w="490" w:type="pct"/>
            <w:tcBorders>
              <w:top w:val="single" w:color="auto" w:sz="4" w:space="0"/>
            </w:tcBorders>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rPr>
            </w:pPr>
            <w:r>
              <w:rPr>
                <w:rFonts w:hint="eastAsia"/>
                <w:highlight w:val="yellow"/>
                <w:lang w:val="en-US" w:eastAsia="zh-CN"/>
              </w:rPr>
              <w:t>13.8</w:t>
            </w:r>
            <w:r>
              <w:rPr>
                <w:rFonts w:hint="eastAsia" w:cs="Arial"/>
                <w:highlight w:val="yellow"/>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15" w:type="pct"/>
            <w:tcBorders>
              <w:top w:val="nil"/>
              <w:bottom w:val="nil"/>
            </w:tcBorders>
            <w:shd w:val="clear" w:color="auto" w:fill="auto"/>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1"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lang w:eastAsia="zh-CN"/>
              </w:rPr>
              <w:t>n</w:t>
            </w:r>
            <w:r>
              <w:rPr>
                <w:rFonts w:hint="eastAsia"/>
                <w:highlight w:val="none"/>
                <w:lang w:eastAsia="zh-CN"/>
              </w:rPr>
              <w:t>48</w:t>
            </w:r>
            <w:r>
              <w:rPr>
                <w:rFonts w:hint="eastAsia"/>
                <w:highlight w:val="none"/>
                <w:vertAlign w:val="superscript"/>
                <w:lang w:eastAsia="zh-CN"/>
              </w:rPr>
              <w:t>3</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1.9</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1.1</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0.8</w:t>
            </w:r>
          </w:p>
        </w:tc>
        <w:tc>
          <w:tcPr>
            <w:tcW w:w="289"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rFonts w:hint="eastAsia"/>
                <w:highlight w:val="none"/>
                <w:lang w:val="en-US" w:eastAsia="zh-CN"/>
              </w:rPr>
              <w:t>0.3</w:t>
            </w: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2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83"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6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346"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c>
          <w:tcPr>
            <w:tcW w:w="490" w:type="pct"/>
          </w:tcPr>
          <w:p>
            <w:pPr>
              <w:pStyle w:val="54"/>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000" w:type="pct"/>
            <w:gridSpan w:val="15"/>
          </w:tcPr>
          <w:p>
            <w:pPr>
              <w:pStyle w:val="54"/>
              <w:keepNext/>
              <w:keepLines/>
              <w:pageBreakBefore w:val="0"/>
              <w:widowControl w:val="0"/>
              <w:kinsoku/>
              <w:wordWrap/>
              <w:overflowPunct/>
              <w:topLinePunct w:val="0"/>
              <w:autoSpaceDE/>
              <w:autoSpaceDN/>
              <w:bidi w:val="0"/>
              <w:adjustRightInd/>
              <w:snapToGrid/>
              <w:spacing w:beforeLines="0" w:afterLines="0" w:line="240" w:lineRule="auto"/>
              <w:jc w:val="left"/>
              <w:textAlignment w:val="auto"/>
              <w:rPr>
                <w:highlight w:val="none"/>
              </w:rPr>
            </w:pPr>
            <w:r>
              <w:rPr>
                <w:rFonts w:hint="eastAsia"/>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5000" w:type="pct"/>
            <w:gridSpan w:val="15"/>
          </w:tcPr>
          <w:p>
            <w:pPr>
              <w:pStyle w:val="67"/>
              <w:keepNext/>
              <w:keepLines/>
              <w:pageBreakBefore w:val="0"/>
              <w:widowControl w:val="0"/>
              <w:kinsoku/>
              <w:wordWrap/>
              <w:overflowPunct/>
              <w:topLinePunct w:val="0"/>
              <w:autoSpaceDE/>
              <w:autoSpaceDN/>
              <w:bidi w:val="0"/>
              <w:adjustRightInd/>
              <w:snapToGrid/>
              <w:spacing w:beforeLines="0" w:afterLines="0" w:line="240" w:lineRule="auto"/>
              <w:textAlignment w:val="auto"/>
              <w:rPr>
                <w:rFonts w:hint="eastAsia"/>
                <w:i/>
                <w:iCs/>
                <w:color w:val="FF0000"/>
                <w:highlight w:val="none"/>
                <w:lang w:val="en-US" w:eastAsia="zh-CN"/>
              </w:rPr>
            </w:pPr>
            <w:r>
              <w:rPr>
                <w:rFonts w:hint="eastAsia"/>
                <w:i/>
                <w:iCs/>
                <w:color w:val="FF0000"/>
                <w:highlight w:val="none"/>
                <w:lang w:val="en-US" w:eastAsia="zh-CN"/>
              </w:rPr>
              <w:t xml:space="preserve">&lt; Omit </w:t>
            </w:r>
            <w:r>
              <w:rPr>
                <w:i/>
                <w:iCs/>
                <w:color w:val="FF0000"/>
                <w:highlight w:val="none"/>
              </w:rPr>
              <w:t xml:space="preserve">NOTE </w:t>
            </w:r>
            <w:r>
              <w:rPr>
                <w:rFonts w:hint="eastAsia"/>
                <w:i/>
                <w:iCs/>
                <w:color w:val="FF0000"/>
                <w:highlight w:val="none"/>
              </w:rPr>
              <w:t>1</w:t>
            </w:r>
            <w:r>
              <w:rPr>
                <w:rFonts w:hint="eastAsia"/>
                <w:i/>
                <w:iCs/>
                <w:color w:val="FF0000"/>
                <w:highlight w:val="none"/>
                <w:lang w:val="en-US" w:eastAsia="zh-CN"/>
              </w:rPr>
              <w:t>-11 &gt;</w:t>
            </w:r>
          </w:p>
          <w:p>
            <w:pPr>
              <w:pStyle w:val="67"/>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yellow"/>
                <w:lang w:val="en-US" w:eastAsia="zh-CN"/>
              </w:rPr>
            </w:pPr>
            <w:r>
              <w:rPr>
                <w:highlight w:val="yellow"/>
              </w:rPr>
              <w:t xml:space="preserve">NOTE </w:t>
            </w:r>
            <w:r>
              <w:rPr>
                <w:rFonts w:hint="eastAsia"/>
                <w:highlight w:val="yellow"/>
                <w:lang w:val="en-US" w:eastAsia="zh-CN"/>
              </w:rPr>
              <w:t>12</w:t>
            </w:r>
            <w:r>
              <w:rPr>
                <w:highlight w:val="yellow"/>
              </w:rPr>
              <w:t>:</w:t>
            </w:r>
            <w:r>
              <w:rPr>
                <w:highlight w:val="yellow"/>
              </w:rPr>
              <w:tab/>
            </w:r>
            <w:r>
              <w:rPr>
                <w:highlight w:val="yellow"/>
              </w:rPr>
              <w:t>For these bandwidths, the minimum requirements are restricted to operation when carrier is configured as a downlink carrier part of CA configuration</w:t>
            </w:r>
            <w:r>
              <w:rPr>
                <w:rFonts w:hint="eastAsia"/>
                <w:highlight w:val="yellow"/>
                <w:lang w:val="en-US" w:eastAsia="zh-CN"/>
              </w:rPr>
              <w:t>.</w:t>
            </w:r>
          </w:p>
          <w:p>
            <w:pPr>
              <w:pStyle w:val="67"/>
              <w:keepNext/>
              <w:keepLines/>
              <w:pageBreakBefore w:val="0"/>
              <w:widowControl w:val="0"/>
              <w:kinsoku/>
              <w:wordWrap/>
              <w:overflowPunct/>
              <w:topLinePunct w:val="0"/>
              <w:autoSpaceDE/>
              <w:autoSpaceDN/>
              <w:bidi w:val="0"/>
              <w:adjustRightInd/>
              <w:snapToGrid/>
              <w:spacing w:beforeLines="0" w:afterLines="0" w:line="240" w:lineRule="auto"/>
              <w:textAlignment w:val="auto"/>
              <w:rPr>
                <w:highlight w:val="none"/>
              </w:rPr>
            </w:pPr>
            <w:r>
              <w:rPr>
                <w:highlight w:val="none"/>
              </w:rPr>
              <w:t xml:space="preserve">NOTE </w:t>
            </w:r>
            <w:r>
              <w:rPr>
                <w:highlight w:val="none"/>
                <w:lang w:val="en-US" w:eastAsia="zh-CN"/>
              </w:rPr>
              <w:t>13</w:t>
            </w:r>
            <w:r>
              <w:rPr>
                <w:highlight w:val="none"/>
              </w:rPr>
              <w:t>:</w:t>
            </w:r>
            <w:r>
              <w:rPr>
                <w:highlight w:val="none"/>
              </w:rPr>
              <w:tab/>
            </w:r>
            <w:r>
              <w:rPr>
                <w:highlight w:val="none"/>
              </w:rPr>
              <w:t>For a UE which supports this band combination only when the Band n77 frequency range restriction defined in NOTE 12 of Table 5.2-1 applies, the MSD test point(s) cannot be verified for the band combination and the test point(s) can be skipped.</w:t>
            </w:r>
          </w:p>
        </w:tc>
      </w:tr>
    </w:tbl>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highlight w:val="none"/>
          <w:lang w:val="en-US" w:eastAsia="zh-CN"/>
        </w:rPr>
      </w:pP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It can be seen that the note 12 is applied for the </w:t>
      </w:r>
      <w:bookmarkStart w:id="19" w:name="OLE_LINK6"/>
      <w:r>
        <w:rPr>
          <w:rFonts w:hint="eastAsia" w:cs="Times New Roman"/>
          <w:b w:val="0"/>
          <w:bCs w:val="0"/>
          <w:kern w:val="0"/>
          <w:sz w:val="20"/>
          <w:szCs w:val="20"/>
          <w:highlight w:val="none"/>
          <w:lang w:val="en-US" w:eastAsia="zh-CN"/>
        </w:rPr>
        <w:t>restriction of the minimum requirements</w:t>
      </w:r>
      <w:bookmarkEnd w:id="19"/>
      <w:r>
        <w:rPr>
          <w:rFonts w:hint="eastAsia" w:cs="Times New Roman"/>
          <w:b w:val="0"/>
          <w:bCs w:val="0"/>
          <w:kern w:val="0"/>
          <w:sz w:val="20"/>
          <w:szCs w:val="20"/>
          <w:highlight w:val="none"/>
          <w:lang w:val="en-US" w:eastAsia="zh-CN"/>
        </w:rPr>
        <w:t xml:space="preserve"> for the channel bandwidth </w:t>
      </w:r>
      <w:r>
        <w:rPr>
          <w:rFonts w:hint="default" w:ascii="Arial" w:hAnsi="Arial" w:cs="Arial"/>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50MHz, while there was no such restriction for the other channel bandwidths.</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In our understanding, reduction of the MSD test points doesn</w:t>
      </w:r>
      <w:r>
        <w:rPr>
          <w:rFonts w:hint="default" w:cs="Times New Roman"/>
          <w:b w:val="0"/>
          <w:bCs w:val="0"/>
          <w:kern w:val="0"/>
          <w:sz w:val="20"/>
          <w:szCs w:val="20"/>
          <w:highlight w:val="none"/>
          <w:lang w:val="en-US" w:eastAsia="zh-CN"/>
        </w:rPr>
        <w:t>’</w:t>
      </w:r>
      <w:r>
        <w:rPr>
          <w:rFonts w:hint="eastAsia" w:cs="Times New Roman"/>
          <w:b w:val="0"/>
          <w:bCs w:val="0"/>
          <w:kern w:val="0"/>
          <w:sz w:val="20"/>
          <w:szCs w:val="20"/>
          <w:highlight w:val="none"/>
          <w:lang w:val="en-US" w:eastAsia="zh-CN"/>
        </w:rPr>
        <w:t xml:space="preserve">t mean </w:t>
      </w:r>
      <w:bookmarkStart w:id="20" w:name="OLE_LINK5"/>
      <w:r>
        <w:rPr>
          <w:rFonts w:hint="eastAsia" w:cs="Times New Roman"/>
          <w:b w:val="0"/>
          <w:bCs w:val="0"/>
          <w:kern w:val="0"/>
          <w:sz w:val="20"/>
          <w:szCs w:val="20"/>
          <w:highlight w:val="none"/>
          <w:lang w:val="en-US" w:eastAsia="zh-CN"/>
        </w:rPr>
        <w:t xml:space="preserve">some </w:t>
      </w:r>
      <w:bookmarkEnd w:id="20"/>
      <w:r>
        <w:rPr>
          <w:rFonts w:hint="eastAsia" w:cs="Times New Roman"/>
          <w:b w:val="0"/>
          <w:bCs w:val="0"/>
          <w:kern w:val="0"/>
          <w:sz w:val="20"/>
          <w:szCs w:val="20"/>
          <w:highlight w:val="none"/>
          <w:lang w:val="en-US" w:eastAsia="zh-CN"/>
        </w:rPr>
        <w:t xml:space="preserve">restrictions in the note can be removed. Therefore, it is </w:t>
      </w:r>
      <w:bookmarkStart w:id="21" w:name="OLE_LINK4"/>
      <w:r>
        <w:rPr>
          <w:rFonts w:hint="eastAsia" w:cs="Times New Roman"/>
          <w:b w:val="0"/>
          <w:bCs w:val="0"/>
          <w:kern w:val="0"/>
          <w:sz w:val="20"/>
          <w:szCs w:val="20"/>
          <w:highlight w:val="none"/>
          <w:lang w:val="en-US" w:eastAsia="zh-CN"/>
        </w:rPr>
        <w:t xml:space="preserve">straightforward </w:t>
      </w:r>
      <w:bookmarkEnd w:id="21"/>
      <w:r>
        <w:rPr>
          <w:rFonts w:hint="eastAsia" w:cs="Times New Roman"/>
          <w:b w:val="0"/>
          <w:bCs w:val="0"/>
          <w:kern w:val="0"/>
          <w:sz w:val="20"/>
          <w:szCs w:val="20"/>
          <w:highlight w:val="none"/>
          <w:lang w:val="en-US" w:eastAsia="zh-CN"/>
        </w:rPr>
        <w:t xml:space="preserve">to keep the MSD test points for these channel bandwidths whose minimum requirements are suffered some restrictions. However, it is not proper to keep all the test points for these channel bandwidths considering the spirit of reeducation. </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kern w:val="0"/>
          <w:sz w:val="20"/>
          <w:szCs w:val="20"/>
          <w:highlight w:val="none"/>
          <w:lang w:val="en-US" w:eastAsia="zh-CN"/>
        </w:rPr>
        <w:t xml:space="preserve">Therefore, we think it is reasonable to select another </w:t>
      </w:r>
      <w:bookmarkStart w:id="22" w:name="OLE_LINK17"/>
      <w:r>
        <w:rPr>
          <w:rFonts w:hint="eastAsia" w:cs="Times New Roman"/>
          <w:kern w:val="0"/>
          <w:sz w:val="20"/>
          <w:szCs w:val="20"/>
          <w:highlight w:val="none"/>
          <w:lang w:val="en-US" w:eastAsia="zh-CN"/>
        </w:rPr>
        <w:t>test point</w:t>
      </w:r>
      <w:bookmarkEnd w:id="22"/>
      <w:r>
        <w:rPr>
          <w:rFonts w:hint="eastAsia" w:cs="Times New Roman"/>
          <w:kern w:val="0"/>
          <w:sz w:val="20"/>
          <w:szCs w:val="20"/>
          <w:highlight w:val="none"/>
          <w:lang w:val="en-US" w:eastAsia="zh-CN"/>
        </w:rPr>
        <w:t xml:space="preserve"> other than the test point of </w:t>
      </w:r>
      <w:bookmarkStart w:id="23" w:name="OLE_LINK18"/>
      <w:r>
        <w:rPr>
          <w:rFonts w:hint="eastAsia" w:cs="Times New Roman"/>
          <w:b w:val="0"/>
          <w:bCs w:val="0"/>
          <w:kern w:val="0"/>
          <w:sz w:val="20"/>
          <w:szCs w:val="20"/>
          <w:highlight w:val="none"/>
          <w:lang w:val="en-US" w:eastAsia="zh-CN"/>
        </w:rPr>
        <w:t>minimum victim downlink channel bandwidth</w:t>
      </w:r>
      <w:bookmarkEnd w:id="23"/>
      <w:r>
        <w:rPr>
          <w:rFonts w:hint="eastAsia" w:cs="Times New Roman"/>
          <w:b w:val="0"/>
          <w:bCs w:val="0"/>
          <w:kern w:val="0"/>
          <w:sz w:val="20"/>
          <w:szCs w:val="20"/>
          <w:highlight w:val="none"/>
          <w:lang w:val="en-US" w:eastAsia="zh-CN"/>
        </w:rPr>
        <w:t xml:space="preserve">. Considering the </w:t>
      </w:r>
      <w:bookmarkStart w:id="24" w:name="OLE_LINK15"/>
      <w:r>
        <w:rPr>
          <w:rFonts w:hint="eastAsia" w:cs="Times New Roman"/>
          <w:b w:val="0"/>
          <w:bCs w:val="0"/>
          <w:kern w:val="0"/>
          <w:sz w:val="20"/>
          <w:szCs w:val="20"/>
          <w:highlight w:val="none"/>
          <w:lang w:val="en-US" w:eastAsia="zh-CN"/>
        </w:rPr>
        <w:t>aforementioned</w:t>
      </w:r>
      <w:bookmarkEnd w:id="24"/>
      <w:r>
        <w:rPr>
          <w:rFonts w:hint="eastAsia" w:cs="Times New Roman"/>
          <w:b w:val="0"/>
          <w:bCs w:val="0"/>
          <w:kern w:val="0"/>
          <w:sz w:val="20"/>
          <w:szCs w:val="20"/>
          <w:highlight w:val="none"/>
          <w:lang w:val="en-US" w:eastAsia="zh-CN"/>
        </w:rPr>
        <w:t xml:space="preserve">, another </w:t>
      </w:r>
      <w:r>
        <w:rPr>
          <w:rFonts w:hint="eastAsia" w:cs="Times New Roman"/>
          <w:kern w:val="0"/>
          <w:sz w:val="20"/>
          <w:szCs w:val="20"/>
          <w:highlight w:val="none"/>
          <w:lang w:val="en-US" w:eastAsia="zh-CN"/>
        </w:rPr>
        <w:t xml:space="preserve">test point can be </w:t>
      </w:r>
      <w:bookmarkStart w:id="25" w:name="OLE_LINK20"/>
      <w:r>
        <w:rPr>
          <w:rFonts w:hint="eastAsia" w:cs="Times New Roman"/>
          <w:b w:val="0"/>
          <w:bCs w:val="0"/>
          <w:kern w:val="0"/>
          <w:sz w:val="20"/>
          <w:szCs w:val="20"/>
          <w:highlight w:val="none"/>
          <w:lang w:val="en-US" w:eastAsia="zh-CN"/>
        </w:rPr>
        <w:t>maximum victim downlink channel bandwidth</w:t>
      </w:r>
      <w:bookmarkEnd w:id="25"/>
      <w:r>
        <w:rPr>
          <w:rFonts w:hint="eastAsia" w:cs="Times New Roman"/>
          <w:b w:val="0"/>
          <w:bCs w:val="0"/>
          <w:kern w:val="0"/>
          <w:sz w:val="20"/>
          <w:szCs w:val="20"/>
          <w:highlight w:val="none"/>
          <w:lang w:val="en-US" w:eastAsia="zh-CN"/>
        </w:rPr>
        <w:t>.</w:t>
      </w:r>
    </w:p>
    <w:p>
      <w:pPr>
        <w:keepNext/>
        <w:keepLines/>
        <w:pageBreakBefore w:val="0"/>
        <w:widowControl w:val="0"/>
        <w:kinsoku/>
        <w:wordWrap/>
        <w:topLinePunct w:val="0"/>
        <w:bidi w:val="0"/>
        <w:rPr>
          <w:rFonts w:hint="default"/>
          <w:b/>
          <w:bCs/>
          <w:sz w:val="20"/>
          <w:szCs w:val="20"/>
          <w:lang w:val="en-US" w:eastAsia="zh-TW"/>
        </w:rPr>
      </w:pPr>
      <w:bookmarkStart w:id="26" w:name="OLE_LINK24"/>
      <w:bookmarkStart w:id="27" w:name="OLE_LINK23"/>
      <w:r>
        <w:rPr>
          <w:rFonts w:hint="eastAsia" w:cs="Times New Roman"/>
          <w:b/>
          <w:bCs/>
          <w:kern w:val="0"/>
          <w:sz w:val="20"/>
          <w:szCs w:val="20"/>
          <w:highlight w:val="none"/>
          <w:lang w:val="en-US" w:eastAsia="zh-CN"/>
        </w:rPr>
        <w:t>Proposal 1:</w:t>
      </w:r>
      <w:bookmarkEnd w:id="26"/>
      <w:r>
        <w:rPr>
          <w:rFonts w:hint="eastAsia" w:cs="Times New Roman"/>
          <w:b/>
          <w:bCs/>
          <w:kern w:val="0"/>
          <w:sz w:val="20"/>
          <w:szCs w:val="20"/>
          <w:highlight w:val="none"/>
          <w:lang w:val="en-US" w:eastAsia="zh-CN"/>
        </w:rPr>
        <w:t xml:space="preserve"> Except the minimum </w:t>
      </w:r>
      <w:bookmarkStart w:id="28" w:name="OLE_LINK21"/>
      <w:r>
        <w:rPr>
          <w:rFonts w:hint="eastAsia" w:cs="Times New Roman"/>
          <w:b/>
          <w:bCs/>
          <w:kern w:val="0"/>
          <w:sz w:val="20"/>
          <w:szCs w:val="20"/>
          <w:highlight w:val="none"/>
          <w:lang w:val="en-US" w:eastAsia="zh-CN"/>
        </w:rPr>
        <w:t>victim downlink channel bandwidth</w:t>
      </w:r>
      <w:bookmarkEnd w:id="28"/>
      <w:r>
        <w:rPr>
          <w:rFonts w:hint="eastAsia" w:cs="Times New Roman"/>
          <w:b/>
          <w:bCs/>
          <w:kern w:val="0"/>
          <w:sz w:val="20"/>
          <w:szCs w:val="20"/>
          <w:highlight w:val="none"/>
          <w:lang w:val="en-US" w:eastAsia="zh-CN"/>
        </w:rPr>
        <w:t xml:space="preserve">, another </w:t>
      </w:r>
      <w:bookmarkStart w:id="29" w:name="OLE_LINK25"/>
      <w:r>
        <w:rPr>
          <w:rFonts w:hint="eastAsia" w:cs="Times New Roman"/>
          <w:b/>
          <w:bCs/>
          <w:kern w:val="0"/>
          <w:sz w:val="20"/>
          <w:szCs w:val="20"/>
          <w:highlight w:val="none"/>
          <w:lang w:val="en-US" w:eastAsia="zh-CN"/>
        </w:rPr>
        <w:t>test point</w:t>
      </w:r>
      <w:bookmarkEnd w:id="29"/>
      <w:r>
        <w:rPr>
          <w:rFonts w:hint="eastAsia" w:cs="Times New Roman"/>
          <w:b/>
          <w:bCs/>
          <w:kern w:val="0"/>
          <w:sz w:val="20"/>
          <w:szCs w:val="20"/>
          <w:highlight w:val="none"/>
          <w:lang w:val="en-US" w:eastAsia="zh-CN"/>
        </w:rPr>
        <w:t xml:space="preserve"> is proposed as maximum victim downlink channel bandwidth.</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The next question is either </w:t>
      </w:r>
      <w:bookmarkStart w:id="30" w:name="OLE_LINK22"/>
      <w:bookmarkStart w:id="31" w:name="OLE_LINK26"/>
      <w:r>
        <w:rPr>
          <w:rFonts w:hint="eastAsia" w:cs="Times New Roman"/>
          <w:b w:val="0"/>
          <w:bCs w:val="0"/>
          <w:kern w:val="0"/>
          <w:sz w:val="20"/>
          <w:szCs w:val="20"/>
          <w:highlight w:val="none"/>
          <w:lang w:val="en-US" w:eastAsia="zh-CN"/>
        </w:rPr>
        <w:t xml:space="preserve">minimum </w:t>
      </w:r>
      <w:bookmarkEnd w:id="30"/>
      <w:r>
        <w:rPr>
          <w:rFonts w:hint="eastAsia" w:cs="Times New Roman"/>
          <w:b w:val="0"/>
          <w:bCs w:val="0"/>
          <w:kern w:val="0"/>
          <w:sz w:val="20"/>
          <w:szCs w:val="20"/>
          <w:highlight w:val="none"/>
          <w:lang w:val="en-US" w:eastAsia="zh-CN"/>
        </w:rPr>
        <w:t>victim downlink channel bandwidth or maximum</w:t>
      </w:r>
      <w:bookmarkStart w:id="32" w:name="OLE_LINK19"/>
      <w:r>
        <w:rPr>
          <w:rFonts w:hint="eastAsia" w:cs="Times New Roman"/>
          <w:b w:val="0"/>
          <w:bCs w:val="0"/>
          <w:kern w:val="0"/>
          <w:sz w:val="20"/>
          <w:szCs w:val="20"/>
          <w:highlight w:val="none"/>
          <w:lang w:val="en-US" w:eastAsia="zh-CN"/>
        </w:rPr>
        <w:t xml:space="preserve"> victim downlink channel bandwidth</w:t>
      </w:r>
      <w:bookmarkEnd w:id="32"/>
      <w:r>
        <w:rPr>
          <w:rFonts w:hint="eastAsia" w:cs="Times New Roman"/>
          <w:b w:val="0"/>
          <w:bCs w:val="0"/>
          <w:kern w:val="0"/>
          <w:sz w:val="20"/>
          <w:szCs w:val="20"/>
          <w:highlight w:val="none"/>
          <w:lang w:val="en-US" w:eastAsia="zh-CN"/>
        </w:rPr>
        <w:t xml:space="preserve"> may be changed in </w:t>
      </w:r>
      <w:bookmarkEnd w:id="31"/>
      <w:r>
        <w:rPr>
          <w:rFonts w:hint="eastAsia" w:cs="Times New Roman"/>
          <w:b w:val="0"/>
          <w:bCs w:val="0"/>
          <w:kern w:val="0"/>
          <w:sz w:val="20"/>
          <w:szCs w:val="20"/>
          <w:highlight w:val="none"/>
          <w:lang w:val="en-US" w:eastAsia="zh-CN"/>
        </w:rPr>
        <w:t xml:space="preserve">future. Currently, 5MHz and 100MHz are the boundary of the minimum and maximum channel bandwidths of NR band, respectively. Not all of the victim DL band support the min. Channel bandwidth of 5MHz or max. Channel bandwidth of 100MHz. </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0"/>
          <w:szCs w:val="20"/>
          <w:highlight w:val="none"/>
          <w:lang w:val="en-US" w:eastAsia="zh-CN"/>
        </w:rPr>
      </w:pPr>
      <w:r>
        <w:rPr>
          <w:rFonts w:hint="eastAsia" w:cs="Times New Roman"/>
          <w:b w:val="0"/>
          <w:bCs w:val="0"/>
          <w:kern w:val="0"/>
          <w:sz w:val="20"/>
          <w:szCs w:val="20"/>
          <w:highlight w:val="none"/>
          <w:lang w:val="en-US" w:eastAsia="zh-CN"/>
        </w:rPr>
        <w:t xml:space="preserve">So </w:t>
      </w:r>
      <w:bookmarkStart w:id="33" w:name="OLE_LINK27"/>
      <w:r>
        <w:rPr>
          <w:rFonts w:hint="eastAsia" w:cs="Times New Roman"/>
          <w:b w:val="0"/>
          <w:bCs w:val="0"/>
          <w:kern w:val="0"/>
          <w:sz w:val="20"/>
          <w:szCs w:val="20"/>
          <w:highlight w:val="none"/>
          <w:lang w:val="en-US" w:eastAsia="zh-CN"/>
        </w:rPr>
        <w:t>test points would be needed in case of minimum victim downlink channel bandwidth or maximum victim downlink channel bandwidth may be changed in future.</w:t>
      </w:r>
      <w:bookmarkEnd w:id="33"/>
      <w:r>
        <w:rPr>
          <w:rFonts w:hint="eastAsia" w:cs="Times New Roman"/>
          <w:b w:val="0"/>
          <w:bCs w:val="0"/>
          <w:kern w:val="0"/>
          <w:sz w:val="20"/>
          <w:szCs w:val="20"/>
          <w:highlight w:val="none"/>
          <w:lang w:val="en-US" w:eastAsia="zh-CN"/>
        </w:rPr>
        <w:t xml:space="preserve">  </w:t>
      </w:r>
    </w:p>
    <w:p>
      <w:pPr>
        <w:keepNext/>
        <w:keepLines/>
        <w:pageBreakBefore w:val="0"/>
        <w:widowControl w:val="0"/>
        <w:kinsoku/>
        <w:wordWrap/>
        <w:topLinePunct w:val="0"/>
        <w:bidi w:val="0"/>
        <w:rPr>
          <w:rFonts w:hint="default" w:cs="Times New Roman"/>
          <w:b/>
          <w:bCs/>
          <w:kern w:val="0"/>
          <w:sz w:val="20"/>
          <w:szCs w:val="20"/>
          <w:highlight w:val="none"/>
          <w:lang w:val="en-US" w:eastAsia="zh-CN"/>
        </w:rPr>
      </w:pPr>
      <w:r>
        <w:rPr>
          <w:rFonts w:hint="eastAsia" w:cs="Times New Roman"/>
          <w:b/>
          <w:bCs/>
          <w:kern w:val="0"/>
          <w:sz w:val="20"/>
          <w:szCs w:val="20"/>
          <w:highlight w:val="none"/>
          <w:lang w:val="en-US" w:eastAsia="zh-CN"/>
        </w:rPr>
        <w:t>Proposal 2: On top of the MSD test points proposed above, additional test point(s) would be needed in case of minimum victim downlink channel bandwidth or maximum victim downlink channel bandwidth changed in future.</w:t>
      </w:r>
    </w:p>
    <w:bookmarkEnd w:id="27"/>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bCs/>
          <w:kern w:val="0"/>
          <w:sz w:val="20"/>
          <w:highlight w:val="none"/>
          <w:lang w:val="en-US" w:eastAsia="zh-CN"/>
        </w:rPr>
      </w:pPr>
    </w:p>
    <w:bookmarkEnd w:id="11"/>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3 Conclusion</w:t>
      </w:r>
    </w:p>
    <w:p>
      <w:pPr>
        <w:keepNext/>
        <w:keepLines/>
        <w:pageBreakBefore w:val="0"/>
        <w:widowControl w:val="0"/>
        <w:numPr>
          <w:ilvl w:val="0"/>
          <w:numId w:val="0"/>
        </w:numPr>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hint="default"/>
          <w:bCs/>
          <w:kern w:val="0"/>
          <w:sz w:val="20"/>
          <w:highlight w:val="none"/>
          <w:lang w:val="en-US" w:eastAsia="zh-CN"/>
        </w:rPr>
      </w:pPr>
      <w:r>
        <w:rPr>
          <w:kern w:val="0"/>
          <w:sz w:val="20"/>
          <w:highlight w:val="none"/>
        </w:rPr>
        <w:t xml:space="preserve">In this contribution, </w:t>
      </w:r>
      <w:r>
        <w:rPr>
          <w:rFonts w:hint="eastAsia"/>
          <w:kern w:val="0"/>
          <w:sz w:val="20"/>
          <w:highlight w:val="none"/>
        </w:rPr>
        <w:t xml:space="preserve">we </w:t>
      </w:r>
      <w:r>
        <w:rPr>
          <w:rFonts w:eastAsia="MS Mincho"/>
          <w:bCs/>
          <w:kern w:val="0"/>
          <w:sz w:val="20"/>
          <w:highlight w:val="none"/>
        </w:rPr>
        <w:t>share our</w:t>
      </w:r>
      <w:r>
        <w:rPr>
          <w:rFonts w:hint="eastAsia" w:eastAsia="MS Mincho"/>
          <w:bCs/>
          <w:kern w:val="0"/>
          <w:sz w:val="20"/>
          <w:highlight w:val="none"/>
        </w:rPr>
        <w:t xml:space="preserve"> </w:t>
      </w:r>
      <w:r>
        <w:rPr>
          <w:rFonts w:eastAsia="MS Mincho"/>
          <w:bCs/>
          <w:kern w:val="0"/>
          <w:sz w:val="20"/>
          <w:highlight w:val="none"/>
        </w:rPr>
        <w:t>views</w:t>
      </w:r>
      <w:r>
        <w:rPr>
          <w:rFonts w:hint="eastAsia" w:eastAsia="MS Mincho"/>
          <w:bCs/>
          <w:kern w:val="0"/>
          <w:sz w:val="20"/>
          <w:highlight w:val="none"/>
        </w:rPr>
        <w:t xml:space="preserve"> on improving </w:t>
      </w:r>
      <w:r>
        <w:rPr>
          <w:rFonts w:hint="eastAsia"/>
          <w:bCs/>
          <w:kern w:val="0"/>
          <w:sz w:val="20"/>
          <w:highlight w:val="none"/>
          <w:lang w:val="en-US" w:eastAsia="zh-CN"/>
        </w:rPr>
        <w:t>MSD test points. The proposals are:</w:t>
      </w:r>
    </w:p>
    <w:p>
      <w:pPr>
        <w:keepNext/>
        <w:keepLines/>
        <w:pageBreakBefore w:val="0"/>
        <w:widowControl w:val="0"/>
        <w:numPr>
          <w:ilvl w:val="0"/>
          <w:numId w:val="0"/>
        </w:numPr>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hint="default"/>
          <w:bCs/>
          <w:kern w:val="0"/>
          <w:sz w:val="20"/>
          <w:highlight w:val="none"/>
          <w:lang w:val="en-US" w:eastAsia="zh-CN"/>
        </w:rPr>
      </w:pPr>
    </w:p>
    <w:p>
      <w:pPr>
        <w:keepNext/>
        <w:keepLines/>
        <w:pageBreakBefore w:val="0"/>
        <w:widowControl w:val="0"/>
        <w:kinsoku/>
        <w:wordWrap/>
        <w:topLinePunct w:val="0"/>
        <w:bidi w:val="0"/>
        <w:rPr>
          <w:rFonts w:hint="default"/>
          <w:b/>
          <w:bCs/>
          <w:lang w:val="en-US" w:eastAsia="zh-TW"/>
        </w:rPr>
      </w:pPr>
      <w:r>
        <w:rPr>
          <w:rFonts w:hint="eastAsia" w:cs="Times New Roman"/>
          <w:b/>
          <w:bCs/>
          <w:kern w:val="0"/>
          <w:sz w:val="20"/>
          <w:highlight w:val="none"/>
          <w:lang w:val="en-US" w:eastAsia="zh-CN"/>
        </w:rPr>
        <w:t>Proposal 1: Except the minimum victim downlink channel bandwidth, another test point is proposed as maximum victim downlink channel bandwidth.</w:t>
      </w:r>
    </w:p>
    <w:p>
      <w:pPr>
        <w:keepNext/>
        <w:keepLines/>
        <w:pageBreakBefore w:val="0"/>
        <w:widowControl w:val="0"/>
        <w:kinsoku/>
        <w:wordWrap/>
        <w:topLinePunct w:val="0"/>
        <w:bidi w:val="0"/>
        <w:rPr>
          <w:rFonts w:hint="default" w:cs="Times New Roman"/>
          <w:b/>
          <w:bCs/>
          <w:kern w:val="0"/>
          <w:sz w:val="20"/>
          <w:highlight w:val="none"/>
          <w:lang w:val="en-US" w:eastAsia="zh-CN"/>
        </w:rPr>
      </w:pPr>
      <w:r>
        <w:rPr>
          <w:rFonts w:hint="eastAsia" w:cs="Times New Roman"/>
          <w:b/>
          <w:bCs/>
          <w:kern w:val="0"/>
          <w:sz w:val="20"/>
          <w:highlight w:val="none"/>
          <w:lang w:val="en-US" w:eastAsia="zh-CN"/>
        </w:rPr>
        <w:t>Proposal 2: On top of the MSD test points proposed above, additional test point(s) would be needed in case of minimum victim downlink channel bandwidth or maximum victim downlink channel bandwidth changed in future.</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widowControl w:val="0"/>
        <w:kinsoku/>
        <w:wordWrap/>
        <w:topLinePunct w:val="0"/>
        <w:bidi w:val="0"/>
        <w:adjustRightInd w:val="0"/>
        <w:snapToGrid w:val="0"/>
        <w:ind w:left="568" w:hanging="568"/>
        <w:rPr>
          <w:rFonts w:hint="eastAsia" w:eastAsia="宋体"/>
          <w:lang w:val="en-US" w:eastAsia="zh-CN"/>
        </w:rPr>
      </w:pPr>
      <w:r>
        <w:t>[1]</w:t>
      </w:r>
      <w:r>
        <w:tab/>
      </w:r>
      <w:r>
        <w:rPr>
          <w:lang w:eastAsia="zh-TW"/>
        </w:rPr>
        <w:t>R4-2119878</w:t>
      </w:r>
      <w:r>
        <w:rPr>
          <w:rFonts w:hint="eastAsia"/>
          <w:lang w:eastAsia="zh-TW"/>
        </w:rPr>
        <w:t xml:space="preserve">, </w:t>
      </w:r>
      <w:r>
        <w:rPr>
          <w:lang w:eastAsia="zh-TW"/>
        </w:rPr>
        <w:t>WF on how to improve MSD tables in Rel-17</w:t>
      </w:r>
      <w:r>
        <w:rPr>
          <w:rFonts w:hint="eastAsia"/>
          <w:lang w:eastAsia="zh-TW"/>
        </w:rPr>
        <w:t xml:space="preserve">, </w:t>
      </w:r>
      <w:r>
        <w:rPr>
          <w:lang w:eastAsia="zh-TW"/>
        </w:rPr>
        <w:t>Skyworks Solutions Inc</w:t>
      </w:r>
      <w:r>
        <w:rPr>
          <w:rFonts w:hint="eastAsia"/>
          <w:lang w:val="en-US" w:eastAsia="zh-CN"/>
        </w:rPr>
        <w:t>.</w:t>
      </w:r>
    </w:p>
    <w:p>
      <w:pPr>
        <w:keepNext/>
        <w:keepLines/>
        <w:pageBreakBefore w:val="0"/>
        <w:widowControl w:val="0"/>
        <w:kinsoku/>
        <w:wordWrap/>
        <w:topLinePunct w:val="0"/>
        <w:bidi w:val="0"/>
        <w:adjustRightInd w:val="0"/>
        <w:snapToGrid w:val="0"/>
        <w:ind w:left="568" w:hanging="568"/>
        <w:rPr>
          <w:rFonts w:hint="eastAsia"/>
          <w:lang w:eastAsia="zh-TW"/>
        </w:rPr>
      </w:pPr>
      <w:r>
        <w:rPr>
          <w:rFonts w:hint="eastAsia"/>
          <w:lang w:eastAsia="zh-TW"/>
        </w:rPr>
        <w:t>[2]</w:t>
      </w:r>
      <w:r>
        <w:rPr>
          <w:rFonts w:hint="eastAsia"/>
          <w:lang w:eastAsia="zh-TW"/>
        </w:rPr>
        <w:tab/>
      </w:r>
      <w:r>
        <w:rPr>
          <w:lang w:eastAsia="zh-TW"/>
        </w:rPr>
        <w:t>R4-2206450</w:t>
      </w:r>
      <w:r>
        <w:rPr>
          <w:rFonts w:hint="eastAsia"/>
          <w:lang w:eastAsia="zh-TW"/>
        </w:rPr>
        <w:t>,</w:t>
      </w:r>
      <w:r>
        <w:rPr>
          <w:lang w:eastAsia="zh-TW"/>
        </w:rPr>
        <w:tab/>
      </w:r>
      <w:r>
        <w:rPr>
          <w:lang w:eastAsia="zh-TW"/>
        </w:rPr>
        <w:t>WF on improvements to MSD table</w:t>
      </w:r>
      <w:r>
        <w:rPr>
          <w:rFonts w:hint="eastAsia"/>
          <w:lang w:eastAsia="zh-TW"/>
        </w:rPr>
        <w:t xml:space="preserve">, </w:t>
      </w:r>
      <w:r>
        <w:rPr>
          <w:lang w:eastAsia="zh-TW"/>
        </w:rPr>
        <w:t>Huawei, HiSilicon, Skyworks Solutions Inc.</w:t>
      </w:r>
    </w:p>
    <w:p>
      <w:pPr>
        <w:keepNext/>
        <w:keepLines/>
        <w:pageBreakBefore w:val="0"/>
        <w:widowControl w:val="0"/>
        <w:kinsoku/>
        <w:wordWrap/>
        <w:topLinePunct w:val="0"/>
        <w:bidi w:val="0"/>
        <w:adjustRightInd w:val="0"/>
        <w:snapToGrid w:val="0"/>
        <w:ind w:left="568" w:hanging="568"/>
        <w:rPr>
          <w:rFonts w:hint="eastAsia"/>
          <w:lang w:eastAsia="zh-TW"/>
        </w:rPr>
      </w:pPr>
      <w:r>
        <w:rPr>
          <w:rFonts w:hint="eastAsia"/>
          <w:lang w:val="en-US" w:eastAsia="zh-CN"/>
        </w:rPr>
        <w:t xml:space="preserve">[3]   </w:t>
      </w:r>
      <w:r>
        <w:rPr>
          <w:lang w:eastAsia="zh-TW"/>
        </w:rPr>
        <w:t>R4-2204053</w:t>
      </w:r>
      <w:r>
        <w:rPr>
          <w:rFonts w:hint="eastAsia"/>
          <w:lang w:eastAsia="zh-TW"/>
        </w:rPr>
        <w:t>,</w:t>
      </w:r>
      <w:r>
        <w:rPr>
          <w:lang w:eastAsia="zh-TW"/>
        </w:rPr>
        <w:tab/>
      </w:r>
      <w:r>
        <w:rPr>
          <w:lang w:eastAsia="zh-TW"/>
        </w:rPr>
        <w:t>Discussion on the number of test points for the MSD table improvement</w:t>
      </w:r>
      <w:r>
        <w:rPr>
          <w:rFonts w:hint="eastAsia"/>
          <w:lang w:eastAsia="zh-TW"/>
        </w:rPr>
        <w:t>, CHTTL</w:t>
      </w:r>
    </w:p>
    <w:p>
      <w:pPr>
        <w:keepNext/>
        <w:keepLines/>
        <w:pageBreakBefore w:val="0"/>
        <w:widowControl w:val="0"/>
        <w:kinsoku/>
        <w:wordWrap/>
        <w:topLinePunct w:val="0"/>
        <w:bidi w:val="0"/>
        <w:spacing w:beforeLines="0" w:afterLines="0" w:line="240" w:lineRule="auto"/>
        <w:jc w:val="left"/>
        <w:rPr>
          <w:highlight w:val="none"/>
        </w:rPr>
      </w:pPr>
    </w:p>
    <w:sectPr>
      <w:headerReference r:id="rId7" w:type="first"/>
      <w:footerReference r:id="rId10" w:type="first"/>
      <w:headerReference r:id="rId5" w:type="default"/>
      <w:footerReference r:id="rId8" w:type="default"/>
      <w:headerReference r:id="rId6" w:type="even"/>
      <w:footerReference r:id="rId9" w:type="even"/>
      <w:pgSz w:w="15840" w:h="12240" w:orient="landscape"/>
      <w:pgMar w:top="1380" w:right="1440" w:bottom="1200" w:left="144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2"/>
          <w:spacing w:before="120" w:after="120"/>
          <w:jc w:val="center"/>
        </w:pPr>
        <w:r>
          <w:fldChar w:fldCharType="begin"/>
        </w:r>
        <w:r>
          <w:instrText xml:space="preserve"> PAGE   \* MERGEFORMAT </w:instrText>
        </w:r>
        <w:r>
          <w:fldChar w:fldCharType="separate"/>
        </w:r>
        <w:r>
          <w:t>1</w:t>
        </w:r>
        <w:r>
          <w:fldChar w:fldCharType="end"/>
        </w:r>
      </w:p>
    </w:sdtContent>
  </w:sdt>
  <w:p>
    <w:pPr>
      <w:pStyle w:val="12"/>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3"/>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1"/>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29"/>
      <w:lvlText w:val="[%1]"/>
      <w:lvlJc w:val="left"/>
      <w:pPr>
        <w:tabs>
          <w:tab w:val="left" w:pos="360"/>
        </w:tabs>
        <w:ind w:left="360" w:hanging="360"/>
      </w:pPr>
    </w:lvl>
  </w:abstractNum>
  <w:abstractNum w:abstractNumId="5">
    <w:nsid w:val="58B73482"/>
    <w:multiLevelType w:val="multilevel"/>
    <w:tmpl w:val="58B73482"/>
    <w:lvl w:ilvl="0" w:tentative="0">
      <w:start w:val="10"/>
      <w:numFmt w:val="bullet"/>
      <w:lvlText w:val="-"/>
      <w:lvlJc w:val="left"/>
      <w:pPr>
        <w:ind w:left="936" w:hanging="360"/>
      </w:pPr>
      <w:rPr>
        <w:rFonts w:hint="default" w:ascii="Arial" w:hAnsi="Arial" w:eastAsia="Times New Roman" w:cs="Arial"/>
      </w:rPr>
    </w:lvl>
    <w:lvl w:ilvl="1" w:tentative="0">
      <w:start w:val="1"/>
      <w:numFmt w:val="bullet"/>
      <w:lvlText w:val="o"/>
      <w:lvlJc w:val="left"/>
      <w:pPr>
        <w:ind w:left="3905" w:hanging="360"/>
      </w:pPr>
      <w:rPr>
        <w:rFonts w:hint="default" w:ascii="Courier New" w:hAnsi="Courier New" w:cs="Courier New"/>
      </w:rPr>
    </w:lvl>
    <w:lvl w:ilvl="2" w:tentative="0">
      <w:start w:val="10"/>
      <w:numFmt w:val="bullet"/>
      <w:lvlText w:val="-"/>
      <w:lvlJc w:val="left"/>
      <w:pPr>
        <w:ind w:left="2376" w:hanging="360"/>
      </w:pPr>
      <w:rPr>
        <w:rFonts w:hint="default" w:ascii="Arial" w:hAnsi="Arial" w:eastAsia="Times New Roman" w:cs="Arial"/>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5BAA8B4C"/>
    <w:multiLevelType w:val="multilevel"/>
    <w:tmpl w:val="5BAA8B4C"/>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1"/>
      <w:lvlText w:val="•"/>
      <w:lvlJc w:val="left"/>
      <w:pPr>
        <w:tabs>
          <w:tab w:val="left" w:pos="840"/>
        </w:tabs>
        <w:ind w:left="840" w:hanging="420"/>
      </w:pPr>
      <w:rPr>
        <w:rFonts w:hint="default" w:ascii="Arial" w:hAnsi="Arial" w:eastAsia="宋体" w:cs="Arial"/>
        <w:b/>
        <w:bCs/>
        <w:i/>
        <w:iCs/>
      </w:rPr>
    </w:lvl>
    <w:lvl w:ilvl="2" w:tentative="0">
      <w:start w:val="1"/>
      <w:numFmt w:val="bullet"/>
      <w:pStyle w:val="42"/>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536583"/>
    <w:rsid w:val="01764F01"/>
    <w:rsid w:val="01854FE9"/>
    <w:rsid w:val="018E207B"/>
    <w:rsid w:val="0190283E"/>
    <w:rsid w:val="019D155B"/>
    <w:rsid w:val="01A428BB"/>
    <w:rsid w:val="01AE307F"/>
    <w:rsid w:val="01B35169"/>
    <w:rsid w:val="01C00B7B"/>
    <w:rsid w:val="01D46B8D"/>
    <w:rsid w:val="01FB366B"/>
    <w:rsid w:val="01FD3930"/>
    <w:rsid w:val="022D4A6E"/>
    <w:rsid w:val="023B0A39"/>
    <w:rsid w:val="023C78A7"/>
    <w:rsid w:val="024B023C"/>
    <w:rsid w:val="024D6B6A"/>
    <w:rsid w:val="02566C17"/>
    <w:rsid w:val="027275A1"/>
    <w:rsid w:val="027371D9"/>
    <w:rsid w:val="0276366F"/>
    <w:rsid w:val="027F646E"/>
    <w:rsid w:val="028F6D4C"/>
    <w:rsid w:val="029A69A7"/>
    <w:rsid w:val="029B04E7"/>
    <w:rsid w:val="02DC3F9C"/>
    <w:rsid w:val="03073BDC"/>
    <w:rsid w:val="030B0647"/>
    <w:rsid w:val="030C40C1"/>
    <w:rsid w:val="03445E8F"/>
    <w:rsid w:val="03527C38"/>
    <w:rsid w:val="0356746F"/>
    <w:rsid w:val="03746F87"/>
    <w:rsid w:val="03814F5B"/>
    <w:rsid w:val="03A77DFA"/>
    <w:rsid w:val="03B339B1"/>
    <w:rsid w:val="03C05350"/>
    <w:rsid w:val="03C1287B"/>
    <w:rsid w:val="03E358F3"/>
    <w:rsid w:val="04030035"/>
    <w:rsid w:val="04251A4C"/>
    <w:rsid w:val="042D2E97"/>
    <w:rsid w:val="04305EA0"/>
    <w:rsid w:val="043865BF"/>
    <w:rsid w:val="044C78D8"/>
    <w:rsid w:val="04684A28"/>
    <w:rsid w:val="04782230"/>
    <w:rsid w:val="0479507E"/>
    <w:rsid w:val="04894975"/>
    <w:rsid w:val="04B14B03"/>
    <w:rsid w:val="04DA1A87"/>
    <w:rsid w:val="04FF7D5A"/>
    <w:rsid w:val="050E7487"/>
    <w:rsid w:val="05161D2D"/>
    <w:rsid w:val="052E568F"/>
    <w:rsid w:val="053973F0"/>
    <w:rsid w:val="053E65E7"/>
    <w:rsid w:val="0555228E"/>
    <w:rsid w:val="057D1D66"/>
    <w:rsid w:val="059D265F"/>
    <w:rsid w:val="05B92EC1"/>
    <w:rsid w:val="05E078B3"/>
    <w:rsid w:val="0601277E"/>
    <w:rsid w:val="060C5AED"/>
    <w:rsid w:val="06103146"/>
    <w:rsid w:val="06172561"/>
    <w:rsid w:val="061E54DA"/>
    <w:rsid w:val="061E5E22"/>
    <w:rsid w:val="06460B91"/>
    <w:rsid w:val="067C28D6"/>
    <w:rsid w:val="068E06BC"/>
    <w:rsid w:val="06B741D9"/>
    <w:rsid w:val="06C457B6"/>
    <w:rsid w:val="06DF4C13"/>
    <w:rsid w:val="06E7678C"/>
    <w:rsid w:val="06F42A88"/>
    <w:rsid w:val="06F801C0"/>
    <w:rsid w:val="071C13A8"/>
    <w:rsid w:val="073D143C"/>
    <w:rsid w:val="074855FD"/>
    <w:rsid w:val="07627CA0"/>
    <w:rsid w:val="076319C4"/>
    <w:rsid w:val="077241E3"/>
    <w:rsid w:val="078D336C"/>
    <w:rsid w:val="07971B3F"/>
    <w:rsid w:val="07983294"/>
    <w:rsid w:val="07A5677E"/>
    <w:rsid w:val="07B9290D"/>
    <w:rsid w:val="07BE52B9"/>
    <w:rsid w:val="07D57946"/>
    <w:rsid w:val="07ED524D"/>
    <w:rsid w:val="080C7FA0"/>
    <w:rsid w:val="0889002B"/>
    <w:rsid w:val="08A44DA6"/>
    <w:rsid w:val="08AA245A"/>
    <w:rsid w:val="08C562FD"/>
    <w:rsid w:val="08CA27B1"/>
    <w:rsid w:val="08E916DF"/>
    <w:rsid w:val="09306537"/>
    <w:rsid w:val="09355076"/>
    <w:rsid w:val="09392119"/>
    <w:rsid w:val="09543B3B"/>
    <w:rsid w:val="098143BC"/>
    <w:rsid w:val="09BD407A"/>
    <w:rsid w:val="09DA0E26"/>
    <w:rsid w:val="09E55691"/>
    <w:rsid w:val="09F67CD5"/>
    <w:rsid w:val="0A0835C8"/>
    <w:rsid w:val="0A145721"/>
    <w:rsid w:val="0A3708FF"/>
    <w:rsid w:val="0A3B01F9"/>
    <w:rsid w:val="0A3F0488"/>
    <w:rsid w:val="0A402A36"/>
    <w:rsid w:val="0A646846"/>
    <w:rsid w:val="0A9E3D3D"/>
    <w:rsid w:val="0AA077E0"/>
    <w:rsid w:val="0AC0212C"/>
    <w:rsid w:val="0ADD5A20"/>
    <w:rsid w:val="0AE10FD9"/>
    <w:rsid w:val="0AF13898"/>
    <w:rsid w:val="0AFB3228"/>
    <w:rsid w:val="0AFC6C07"/>
    <w:rsid w:val="0B0F025C"/>
    <w:rsid w:val="0B1A6333"/>
    <w:rsid w:val="0B2713F4"/>
    <w:rsid w:val="0B3D701F"/>
    <w:rsid w:val="0B3E7DD7"/>
    <w:rsid w:val="0B561995"/>
    <w:rsid w:val="0B5C2C2A"/>
    <w:rsid w:val="0B665E0A"/>
    <w:rsid w:val="0B847B39"/>
    <w:rsid w:val="0B9E71DF"/>
    <w:rsid w:val="0BCC4B6A"/>
    <w:rsid w:val="0C1E494F"/>
    <w:rsid w:val="0C3427D0"/>
    <w:rsid w:val="0C43327D"/>
    <w:rsid w:val="0C4426AF"/>
    <w:rsid w:val="0C4577EC"/>
    <w:rsid w:val="0C5C6396"/>
    <w:rsid w:val="0C650A20"/>
    <w:rsid w:val="0C6E11B8"/>
    <w:rsid w:val="0C723CD1"/>
    <w:rsid w:val="0CB94808"/>
    <w:rsid w:val="0CC37BC2"/>
    <w:rsid w:val="0CD87ABE"/>
    <w:rsid w:val="0CE26C42"/>
    <w:rsid w:val="0CE76B48"/>
    <w:rsid w:val="0CFB523A"/>
    <w:rsid w:val="0D6E2620"/>
    <w:rsid w:val="0D704E21"/>
    <w:rsid w:val="0D7F48FE"/>
    <w:rsid w:val="0D883C88"/>
    <w:rsid w:val="0D966BF7"/>
    <w:rsid w:val="0DD87842"/>
    <w:rsid w:val="0DF202E1"/>
    <w:rsid w:val="0DF53CE3"/>
    <w:rsid w:val="0E0961C5"/>
    <w:rsid w:val="0E147898"/>
    <w:rsid w:val="0E2F216B"/>
    <w:rsid w:val="0E3352C6"/>
    <w:rsid w:val="0E6271DF"/>
    <w:rsid w:val="0E81568A"/>
    <w:rsid w:val="0E942250"/>
    <w:rsid w:val="0E963344"/>
    <w:rsid w:val="0E9E6E00"/>
    <w:rsid w:val="0EA40C1C"/>
    <w:rsid w:val="0EEC6F1D"/>
    <w:rsid w:val="0F103291"/>
    <w:rsid w:val="0F1D498B"/>
    <w:rsid w:val="0F337178"/>
    <w:rsid w:val="0F41022A"/>
    <w:rsid w:val="0F6763D9"/>
    <w:rsid w:val="0F715B2B"/>
    <w:rsid w:val="0F764270"/>
    <w:rsid w:val="0F957B47"/>
    <w:rsid w:val="0F98796C"/>
    <w:rsid w:val="0FAD33DA"/>
    <w:rsid w:val="0FBE2A42"/>
    <w:rsid w:val="0FC17CCE"/>
    <w:rsid w:val="0FC424B9"/>
    <w:rsid w:val="0FD70565"/>
    <w:rsid w:val="0FEC680C"/>
    <w:rsid w:val="10007AD6"/>
    <w:rsid w:val="101C4A03"/>
    <w:rsid w:val="101D0C86"/>
    <w:rsid w:val="104A023B"/>
    <w:rsid w:val="10505F3B"/>
    <w:rsid w:val="106D2686"/>
    <w:rsid w:val="107C3E2C"/>
    <w:rsid w:val="107D41AE"/>
    <w:rsid w:val="10C715C5"/>
    <w:rsid w:val="10D335EF"/>
    <w:rsid w:val="10E746EA"/>
    <w:rsid w:val="10E83FE0"/>
    <w:rsid w:val="10F52718"/>
    <w:rsid w:val="114028DC"/>
    <w:rsid w:val="117B1D6A"/>
    <w:rsid w:val="117C2D9D"/>
    <w:rsid w:val="11821DC9"/>
    <w:rsid w:val="11921373"/>
    <w:rsid w:val="119D7849"/>
    <w:rsid w:val="11C67B8F"/>
    <w:rsid w:val="11E57D4F"/>
    <w:rsid w:val="11F92DAB"/>
    <w:rsid w:val="11FC38D5"/>
    <w:rsid w:val="1210682D"/>
    <w:rsid w:val="123A05DB"/>
    <w:rsid w:val="127E5AA6"/>
    <w:rsid w:val="128B2749"/>
    <w:rsid w:val="129811DB"/>
    <w:rsid w:val="12AB7A32"/>
    <w:rsid w:val="12BB6535"/>
    <w:rsid w:val="12C7312B"/>
    <w:rsid w:val="12D22971"/>
    <w:rsid w:val="12D85654"/>
    <w:rsid w:val="12EE5106"/>
    <w:rsid w:val="1307341C"/>
    <w:rsid w:val="130E3629"/>
    <w:rsid w:val="131B39DD"/>
    <w:rsid w:val="13283BA4"/>
    <w:rsid w:val="13332F77"/>
    <w:rsid w:val="13334E1C"/>
    <w:rsid w:val="13346EE4"/>
    <w:rsid w:val="13384952"/>
    <w:rsid w:val="1355107F"/>
    <w:rsid w:val="135D4D2E"/>
    <w:rsid w:val="1366638D"/>
    <w:rsid w:val="136D76E8"/>
    <w:rsid w:val="137266E0"/>
    <w:rsid w:val="13AA5FA1"/>
    <w:rsid w:val="13C20262"/>
    <w:rsid w:val="13D024B3"/>
    <w:rsid w:val="13D86A45"/>
    <w:rsid w:val="13DD445E"/>
    <w:rsid w:val="13FD073F"/>
    <w:rsid w:val="140171D9"/>
    <w:rsid w:val="1405674E"/>
    <w:rsid w:val="140815BB"/>
    <w:rsid w:val="14087FC1"/>
    <w:rsid w:val="14095006"/>
    <w:rsid w:val="141E583B"/>
    <w:rsid w:val="1424615D"/>
    <w:rsid w:val="142C143A"/>
    <w:rsid w:val="145F07C7"/>
    <w:rsid w:val="14816B50"/>
    <w:rsid w:val="149559C4"/>
    <w:rsid w:val="14AC0C32"/>
    <w:rsid w:val="14C45576"/>
    <w:rsid w:val="14DA3DA1"/>
    <w:rsid w:val="14E60B42"/>
    <w:rsid w:val="14EA1C4D"/>
    <w:rsid w:val="1515004B"/>
    <w:rsid w:val="15207BBA"/>
    <w:rsid w:val="152F4E1B"/>
    <w:rsid w:val="154D342A"/>
    <w:rsid w:val="1559587F"/>
    <w:rsid w:val="1574662E"/>
    <w:rsid w:val="15751882"/>
    <w:rsid w:val="1575191B"/>
    <w:rsid w:val="159F73BB"/>
    <w:rsid w:val="15B03F28"/>
    <w:rsid w:val="15E30A80"/>
    <w:rsid w:val="1608480E"/>
    <w:rsid w:val="161C1C58"/>
    <w:rsid w:val="16413A3A"/>
    <w:rsid w:val="1644500C"/>
    <w:rsid w:val="16461A95"/>
    <w:rsid w:val="16594F06"/>
    <w:rsid w:val="166F5E80"/>
    <w:rsid w:val="16766A92"/>
    <w:rsid w:val="167A52A9"/>
    <w:rsid w:val="16866882"/>
    <w:rsid w:val="168F69F2"/>
    <w:rsid w:val="16AC4DDB"/>
    <w:rsid w:val="16AE2FE3"/>
    <w:rsid w:val="16B4400E"/>
    <w:rsid w:val="16C739DF"/>
    <w:rsid w:val="16EB6E00"/>
    <w:rsid w:val="16FD2447"/>
    <w:rsid w:val="171E63FC"/>
    <w:rsid w:val="1722504D"/>
    <w:rsid w:val="1738730F"/>
    <w:rsid w:val="17416499"/>
    <w:rsid w:val="17481B81"/>
    <w:rsid w:val="175007ED"/>
    <w:rsid w:val="176B45C6"/>
    <w:rsid w:val="176C447F"/>
    <w:rsid w:val="17875303"/>
    <w:rsid w:val="1793626E"/>
    <w:rsid w:val="17A875F5"/>
    <w:rsid w:val="17E66DD8"/>
    <w:rsid w:val="17E84839"/>
    <w:rsid w:val="17F25234"/>
    <w:rsid w:val="18005F41"/>
    <w:rsid w:val="18025414"/>
    <w:rsid w:val="18171305"/>
    <w:rsid w:val="18334194"/>
    <w:rsid w:val="183E1D37"/>
    <w:rsid w:val="18812331"/>
    <w:rsid w:val="18816F1C"/>
    <w:rsid w:val="18853F3E"/>
    <w:rsid w:val="18956393"/>
    <w:rsid w:val="18A8582C"/>
    <w:rsid w:val="18B50543"/>
    <w:rsid w:val="19001FFC"/>
    <w:rsid w:val="190E2B4A"/>
    <w:rsid w:val="19256D7A"/>
    <w:rsid w:val="193275C2"/>
    <w:rsid w:val="19663168"/>
    <w:rsid w:val="19786B0A"/>
    <w:rsid w:val="19B46E10"/>
    <w:rsid w:val="19C456C1"/>
    <w:rsid w:val="19F061A1"/>
    <w:rsid w:val="1A054259"/>
    <w:rsid w:val="1A165171"/>
    <w:rsid w:val="1A4858FF"/>
    <w:rsid w:val="1A4C698A"/>
    <w:rsid w:val="1A5E4B5A"/>
    <w:rsid w:val="1A672B1C"/>
    <w:rsid w:val="1A8301C0"/>
    <w:rsid w:val="1A872248"/>
    <w:rsid w:val="1A9E6232"/>
    <w:rsid w:val="1AA74D3D"/>
    <w:rsid w:val="1AB34DB4"/>
    <w:rsid w:val="1AB613FD"/>
    <w:rsid w:val="1AD26086"/>
    <w:rsid w:val="1AE013F8"/>
    <w:rsid w:val="1AE8570C"/>
    <w:rsid w:val="1B2160BB"/>
    <w:rsid w:val="1B3637AD"/>
    <w:rsid w:val="1B3E0DB5"/>
    <w:rsid w:val="1B454C94"/>
    <w:rsid w:val="1B7F6005"/>
    <w:rsid w:val="1B9C269A"/>
    <w:rsid w:val="1B9E64C5"/>
    <w:rsid w:val="1BC01115"/>
    <w:rsid w:val="1BC44015"/>
    <w:rsid w:val="1BCA6284"/>
    <w:rsid w:val="1C013494"/>
    <w:rsid w:val="1C053414"/>
    <w:rsid w:val="1C132CB9"/>
    <w:rsid w:val="1C273D33"/>
    <w:rsid w:val="1C4672ED"/>
    <w:rsid w:val="1C467AB6"/>
    <w:rsid w:val="1C7F54CE"/>
    <w:rsid w:val="1C7F743F"/>
    <w:rsid w:val="1C8C4AA9"/>
    <w:rsid w:val="1C8C604B"/>
    <w:rsid w:val="1C973EEF"/>
    <w:rsid w:val="1CAF5DB2"/>
    <w:rsid w:val="1CCC26CA"/>
    <w:rsid w:val="1CD41743"/>
    <w:rsid w:val="1CD44D3D"/>
    <w:rsid w:val="1CE615C9"/>
    <w:rsid w:val="1D037029"/>
    <w:rsid w:val="1D3305FF"/>
    <w:rsid w:val="1D5F5386"/>
    <w:rsid w:val="1D7072CE"/>
    <w:rsid w:val="1DAB1006"/>
    <w:rsid w:val="1DB33C11"/>
    <w:rsid w:val="1E164B52"/>
    <w:rsid w:val="1E273844"/>
    <w:rsid w:val="1E2F243E"/>
    <w:rsid w:val="1E455D19"/>
    <w:rsid w:val="1E595CAF"/>
    <w:rsid w:val="1E6607F9"/>
    <w:rsid w:val="1E805396"/>
    <w:rsid w:val="1E884F62"/>
    <w:rsid w:val="1E9D6342"/>
    <w:rsid w:val="1EA77730"/>
    <w:rsid w:val="1EC36E9D"/>
    <w:rsid w:val="1EE25FDD"/>
    <w:rsid w:val="1EF5103F"/>
    <w:rsid w:val="1F090F9B"/>
    <w:rsid w:val="1F0E5D6B"/>
    <w:rsid w:val="1F4F2219"/>
    <w:rsid w:val="1F721405"/>
    <w:rsid w:val="1F935819"/>
    <w:rsid w:val="1FA6556D"/>
    <w:rsid w:val="1FAF2571"/>
    <w:rsid w:val="1FC55EDA"/>
    <w:rsid w:val="1FCE593C"/>
    <w:rsid w:val="1FE312AC"/>
    <w:rsid w:val="1FEC5915"/>
    <w:rsid w:val="1FED32EF"/>
    <w:rsid w:val="20446081"/>
    <w:rsid w:val="204852AD"/>
    <w:rsid w:val="204E6676"/>
    <w:rsid w:val="205A5AA0"/>
    <w:rsid w:val="20773A28"/>
    <w:rsid w:val="208574F4"/>
    <w:rsid w:val="208F6BAF"/>
    <w:rsid w:val="20A462BA"/>
    <w:rsid w:val="20BF2AAC"/>
    <w:rsid w:val="20C849C7"/>
    <w:rsid w:val="20DF66D2"/>
    <w:rsid w:val="20EC3F2E"/>
    <w:rsid w:val="210548E9"/>
    <w:rsid w:val="21124D15"/>
    <w:rsid w:val="213E7119"/>
    <w:rsid w:val="21810744"/>
    <w:rsid w:val="2195668B"/>
    <w:rsid w:val="21CD6BCD"/>
    <w:rsid w:val="21CE6067"/>
    <w:rsid w:val="21F00127"/>
    <w:rsid w:val="221D2FA3"/>
    <w:rsid w:val="2226635F"/>
    <w:rsid w:val="222D4F0B"/>
    <w:rsid w:val="223D7545"/>
    <w:rsid w:val="22411D14"/>
    <w:rsid w:val="22423BE1"/>
    <w:rsid w:val="22454449"/>
    <w:rsid w:val="22500810"/>
    <w:rsid w:val="22682935"/>
    <w:rsid w:val="228A4698"/>
    <w:rsid w:val="22945167"/>
    <w:rsid w:val="22A55CD5"/>
    <w:rsid w:val="22C74EE2"/>
    <w:rsid w:val="22CB6237"/>
    <w:rsid w:val="22CD14B5"/>
    <w:rsid w:val="22E02C6E"/>
    <w:rsid w:val="22E04FF4"/>
    <w:rsid w:val="22E1121B"/>
    <w:rsid w:val="233C6F76"/>
    <w:rsid w:val="234449F5"/>
    <w:rsid w:val="23536618"/>
    <w:rsid w:val="23816932"/>
    <w:rsid w:val="23A9484E"/>
    <w:rsid w:val="23B32F98"/>
    <w:rsid w:val="23B84268"/>
    <w:rsid w:val="23D17D7B"/>
    <w:rsid w:val="23D36D91"/>
    <w:rsid w:val="23F70BA5"/>
    <w:rsid w:val="23F93D0D"/>
    <w:rsid w:val="2405417E"/>
    <w:rsid w:val="241B5C62"/>
    <w:rsid w:val="245872F9"/>
    <w:rsid w:val="245943D9"/>
    <w:rsid w:val="245E6B64"/>
    <w:rsid w:val="2463385E"/>
    <w:rsid w:val="24967323"/>
    <w:rsid w:val="24A1538E"/>
    <w:rsid w:val="24B9450F"/>
    <w:rsid w:val="24C83F94"/>
    <w:rsid w:val="24F60CDA"/>
    <w:rsid w:val="250D450C"/>
    <w:rsid w:val="25134332"/>
    <w:rsid w:val="25141A5B"/>
    <w:rsid w:val="252B49E0"/>
    <w:rsid w:val="25734B61"/>
    <w:rsid w:val="25975923"/>
    <w:rsid w:val="259A3D0A"/>
    <w:rsid w:val="25A95F3E"/>
    <w:rsid w:val="25BF6041"/>
    <w:rsid w:val="25C35718"/>
    <w:rsid w:val="25CF0252"/>
    <w:rsid w:val="25D0248E"/>
    <w:rsid w:val="25F81D70"/>
    <w:rsid w:val="25FB5636"/>
    <w:rsid w:val="25FE58A9"/>
    <w:rsid w:val="26070462"/>
    <w:rsid w:val="260D2C45"/>
    <w:rsid w:val="26395C92"/>
    <w:rsid w:val="266237C3"/>
    <w:rsid w:val="267550B9"/>
    <w:rsid w:val="26C472EC"/>
    <w:rsid w:val="26EC491A"/>
    <w:rsid w:val="26ED73E1"/>
    <w:rsid w:val="27047832"/>
    <w:rsid w:val="272F31A0"/>
    <w:rsid w:val="27342901"/>
    <w:rsid w:val="273D2762"/>
    <w:rsid w:val="27470B72"/>
    <w:rsid w:val="27525E32"/>
    <w:rsid w:val="2778582E"/>
    <w:rsid w:val="27806765"/>
    <w:rsid w:val="279B1E53"/>
    <w:rsid w:val="27AB7429"/>
    <w:rsid w:val="27C57B2B"/>
    <w:rsid w:val="27C8029E"/>
    <w:rsid w:val="27DD45ED"/>
    <w:rsid w:val="27E3651B"/>
    <w:rsid w:val="27EC25E3"/>
    <w:rsid w:val="27ED0939"/>
    <w:rsid w:val="27F1498B"/>
    <w:rsid w:val="28027A71"/>
    <w:rsid w:val="281F4F67"/>
    <w:rsid w:val="283744B4"/>
    <w:rsid w:val="28485D62"/>
    <w:rsid w:val="285560D7"/>
    <w:rsid w:val="28760CA0"/>
    <w:rsid w:val="288A05DD"/>
    <w:rsid w:val="28937D89"/>
    <w:rsid w:val="28C96C14"/>
    <w:rsid w:val="28E138E3"/>
    <w:rsid w:val="28E74216"/>
    <w:rsid w:val="28E87EE4"/>
    <w:rsid w:val="2903396A"/>
    <w:rsid w:val="294E766A"/>
    <w:rsid w:val="2978319A"/>
    <w:rsid w:val="29A3014B"/>
    <w:rsid w:val="29A74CBD"/>
    <w:rsid w:val="29B01C34"/>
    <w:rsid w:val="29BA0D88"/>
    <w:rsid w:val="29CF32B2"/>
    <w:rsid w:val="29DE15A2"/>
    <w:rsid w:val="29EF3680"/>
    <w:rsid w:val="29EF424E"/>
    <w:rsid w:val="29FA7F26"/>
    <w:rsid w:val="2A35650F"/>
    <w:rsid w:val="2A405845"/>
    <w:rsid w:val="2A6E31F8"/>
    <w:rsid w:val="2A8A2F9C"/>
    <w:rsid w:val="2AAC5A06"/>
    <w:rsid w:val="2ABB3D6F"/>
    <w:rsid w:val="2AC70B30"/>
    <w:rsid w:val="2ACC2AAF"/>
    <w:rsid w:val="2AD74744"/>
    <w:rsid w:val="2AE57C95"/>
    <w:rsid w:val="2AF35C8B"/>
    <w:rsid w:val="2B132265"/>
    <w:rsid w:val="2B214776"/>
    <w:rsid w:val="2B313FC1"/>
    <w:rsid w:val="2B347C14"/>
    <w:rsid w:val="2B39348E"/>
    <w:rsid w:val="2B437285"/>
    <w:rsid w:val="2B4D695C"/>
    <w:rsid w:val="2B514803"/>
    <w:rsid w:val="2B6B1684"/>
    <w:rsid w:val="2B7B70BF"/>
    <w:rsid w:val="2B8B422C"/>
    <w:rsid w:val="2BA07D38"/>
    <w:rsid w:val="2BC40957"/>
    <w:rsid w:val="2BCB5DAA"/>
    <w:rsid w:val="2BFC0A4A"/>
    <w:rsid w:val="2C094904"/>
    <w:rsid w:val="2C425BCE"/>
    <w:rsid w:val="2C44676A"/>
    <w:rsid w:val="2C4A080C"/>
    <w:rsid w:val="2C54533B"/>
    <w:rsid w:val="2C591378"/>
    <w:rsid w:val="2C8F4862"/>
    <w:rsid w:val="2CA2721B"/>
    <w:rsid w:val="2CB600FC"/>
    <w:rsid w:val="2D026315"/>
    <w:rsid w:val="2D0764BD"/>
    <w:rsid w:val="2D0B3169"/>
    <w:rsid w:val="2D2D2DE2"/>
    <w:rsid w:val="2D340E86"/>
    <w:rsid w:val="2D3D0E02"/>
    <w:rsid w:val="2D62469E"/>
    <w:rsid w:val="2D6B40A9"/>
    <w:rsid w:val="2D980DDC"/>
    <w:rsid w:val="2D987372"/>
    <w:rsid w:val="2DCE5F69"/>
    <w:rsid w:val="2DDD4F0A"/>
    <w:rsid w:val="2E34792A"/>
    <w:rsid w:val="2E437E73"/>
    <w:rsid w:val="2E5034DC"/>
    <w:rsid w:val="2E572AB9"/>
    <w:rsid w:val="2E7258DC"/>
    <w:rsid w:val="2E79458E"/>
    <w:rsid w:val="2E797A78"/>
    <w:rsid w:val="2E7C6A94"/>
    <w:rsid w:val="2E8321A5"/>
    <w:rsid w:val="2E9F6D95"/>
    <w:rsid w:val="2EAE350B"/>
    <w:rsid w:val="2ECA3116"/>
    <w:rsid w:val="2EDD7896"/>
    <w:rsid w:val="2EEA6E65"/>
    <w:rsid w:val="2F00052B"/>
    <w:rsid w:val="2F0367CD"/>
    <w:rsid w:val="2F1251F2"/>
    <w:rsid w:val="2F4F6FBB"/>
    <w:rsid w:val="2F664E2B"/>
    <w:rsid w:val="2F6C7BE3"/>
    <w:rsid w:val="2F783485"/>
    <w:rsid w:val="2F7F5C0B"/>
    <w:rsid w:val="2FA6492D"/>
    <w:rsid w:val="2FF93066"/>
    <w:rsid w:val="301A71CE"/>
    <w:rsid w:val="301E049B"/>
    <w:rsid w:val="304478EC"/>
    <w:rsid w:val="30962F3E"/>
    <w:rsid w:val="30AA2585"/>
    <w:rsid w:val="30C16A19"/>
    <w:rsid w:val="30D32236"/>
    <w:rsid w:val="30FF2795"/>
    <w:rsid w:val="310375CD"/>
    <w:rsid w:val="311611B3"/>
    <w:rsid w:val="315E0B07"/>
    <w:rsid w:val="31621F46"/>
    <w:rsid w:val="316E7CA0"/>
    <w:rsid w:val="317206BF"/>
    <w:rsid w:val="317932EA"/>
    <w:rsid w:val="317E5000"/>
    <w:rsid w:val="31B718F2"/>
    <w:rsid w:val="31EF7EE8"/>
    <w:rsid w:val="320901F5"/>
    <w:rsid w:val="320B7CCB"/>
    <w:rsid w:val="32105DE8"/>
    <w:rsid w:val="3235187E"/>
    <w:rsid w:val="323B6798"/>
    <w:rsid w:val="32537B57"/>
    <w:rsid w:val="325F618E"/>
    <w:rsid w:val="32757E99"/>
    <w:rsid w:val="328F5534"/>
    <w:rsid w:val="329A6ACE"/>
    <w:rsid w:val="32DF351E"/>
    <w:rsid w:val="32EE5E41"/>
    <w:rsid w:val="32FD7C76"/>
    <w:rsid w:val="330C22FC"/>
    <w:rsid w:val="33540E5D"/>
    <w:rsid w:val="335E7B11"/>
    <w:rsid w:val="3364318B"/>
    <w:rsid w:val="336A499A"/>
    <w:rsid w:val="33714830"/>
    <w:rsid w:val="33737F51"/>
    <w:rsid w:val="337964FF"/>
    <w:rsid w:val="337D34FB"/>
    <w:rsid w:val="33BF4199"/>
    <w:rsid w:val="340D25F6"/>
    <w:rsid w:val="342B76C7"/>
    <w:rsid w:val="343A1527"/>
    <w:rsid w:val="34447898"/>
    <w:rsid w:val="344E62FA"/>
    <w:rsid w:val="3472234D"/>
    <w:rsid w:val="347D500F"/>
    <w:rsid w:val="34872D27"/>
    <w:rsid w:val="349164BD"/>
    <w:rsid w:val="34BD02AE"/>
    <w:rsid w:val="34DA26A8"/>
    <w:rsid w:val="34E960F1"/>
    <w:rsid w:val="350B42D5"/>
    <w:rsid w:val="350F6258"/>
    <w:rsid w:val="351A603C"/>
    <w:rsid w:val="35387F19"/>
    <w:rsid w:val="3539550B"/>
    <w:rsid w:val="356678B4"/>
    <w:rsid w:val="3573649F"/>
    <w:rsid w:val="357E4B0A"/>
    <w:rsid w:val="358F6BDF"/>
    <w:rsid w:val="35C06D50"/>
    <w:rsid w:val="35D24294"/>
    <w:rsid w:val="35FF6F3C"/>
    <w:rsid w:val="36121506"/>
    <w:rsid w:val="361D7A43"/>
    <w:rsid w:val="361F3323"/>
    <w:rsid w:val="36402EFA"/>
    <w:rsid w:val="36496A51"/>
    <w:rsid w:val="368230C6"/>
    <w:rsid w:val="368F7E4F"/>
    <w:rsid w:val="369F633B"/>
    <w:rsid w:val="36A7007C"/>
    <w:rsid w:val="36B24AE8"/>
    <w:rsid w:val="36BD0DC4"/>
    <w:rsid w:val="36D51D00"/>
    <w:rsid w:val="36D66B5E"/>
    <w:rsid w:val="36E93760"/>
    <w:rsid w:val="36FB4305"/>
    <w:rsid w:val="3708597F"/>
    <w:rsid w:val="370F7060"/>
    <w:rsid w:val="37134801"/>
    <w:rsid w:val="37173233"/>
    <w:rsid w:val="3734159D"/>
    <w:rsid w:val="37382526"/>
    <w:rsid w:val="3758590A"/>
    <w:rsid w:val="37602E60"/>
    <w:rsid w:val="378229A7"/>
    <w:rsid w:val="3784394E"/>
    <w:rsid w:val="37987437"/>
    <w:rsid w:val="37C94031"/>
    <w:rsid w:val="37CA042E"/>
    <w:rsid w:val="37D44549"/>
    <w:rsid w:val="37D77B09"/>
    <w:rsid w:val="37D97EDE"/>
    <w:rsid w:val="382E392C"/>
    <w:rsid w:val="38342E90"/>
    <w:rsid w:val="384B7332"/>
    <w:rsid w:val="38706DCB"/>
    <w:rsid w:val="38BD31EE"/>
    <w:rsid w:val="38CB3BDF"/>
    <w:rsid w:val="38D33D29"/>
    <w:rsid w:val="38E40A5B"/>
    <w:rsid w:val="39285D57"/>
    <w:rsid w:val="394B6470"/>
    <w:rsid w:val="39872512"/>
    <w:rsid w:val="39A602F9"/>
    <w:rsid w:val="39C2316A"/>
    <w:rsid w:val="39F36281"/>
    <w:rsid w:val="39FD376D"/>
    <w:rsid w:val="39FD6C9C"/>
    <w:rsid w:val="3A16794C"/>
    <w:rsid w:val="3A226969"/>
    <w:rsid w:val="3A3F47CE"/>
    <w:rsid w:val="3A4E1C5D"/>
    <w:rsid w:val="3A523735"/>
    <w:rsid w:val="3A557AE4"/>
    <w:rsid w:val="3A6B0F84"/>
    <w:rsid w:val="3A727435"/>
    <w:rsid w:val="3A94055A"/>
    <w:rsid w:val="3AC17E3A"/>
    <w:rsid w:val="3ACB5746"/>
    <w:rsid w:val="3ADD2B05"/>
    <w:rsid w:val="3AE417E3"/>
    <w:rsid w:val="3AE440AF"/>
    <w:rsid w:val="3B113F51"/>
    <w:rsid w:val="3B307112"/>
    <w:rsid w:val="3B7804A3"/>
    <w:rsid w:val="3B8E2153"/>
    <w:rsid w:val="3BA03B83"/>
    <w:rsid w:val="3BB20883"/>
    <w:rsid w:val="3BC34E75"/>
    <w:rsid w:val="3BCB270F"/>
    <w:rsid w:val="3BD96AA6"/>
    <w:rsid w:val="3C0429BF"/>
    <w:rsid w:val="3C1A201A"/>
    <w:rsid w:val="3C371D4B"/>
    <w:rsid w:val="3C3B4B9D"/>
    <w:rsid w:val="3C413C82"/>
    <w:rsid w:val="3C471C36"/>
    <w:rsid w:val="3C734413"/>
    <w:rsid w:val="3C982C18"/>
    <w:rsid w:val="3CA734F8"/>
    <w:rsid w:val="3CC74223"/>
    <w:rsid w:val="3CDB5F96"/>
    <w:rsid w:val="3CE23F49"/>
    <w:rsid w:val="3CEC39B8"/>
    <w:rsid w:val="3CF86D06"/>
    <w:rsid w:val="3D00620E"/>
    <w:rsid w:val="3D316CDB"/>
    <w:rsid w:val="3D3D6BBD"/>
    <w:rsid w:val="3D477118"/>
    <w:rsid w:val="3D594E54"/>
    <w:rsid w:val="3D6E2272"/>
    <w:rsid w:val="3D7C727A"/>
    <w:rsid w:val="3D81786B"/>
    <w:rsid w:val="3D830417"/>
    <w:rsid w:val="3D877AC5"/>
    <w:rsid w:val="3D882D35"/>
    <w:rsid w:val="3D94235D"/>
    <w:rsid w:val="3D9461E1"/>
    <w:rsid w:val="3DB34E86"/>
    <w:rsid w:val="3DF95812"/>
    <w:rsid w:val="3E1D4B24"/>
    <w:rsid w:val="3E3A04FA"/>
    <w:rsid w:val="3E3D6B96"/>
    <w:rsid w:val="3E441C7D"/>
    <w:rsid w:val="3E490256"/>
    <w:rsid w:val="3E55739E"/>
    <w:rsid w:val="3E6C43C8"/>
    <w:rsid w:val="3E8227F0"/>
    <w:rsid w:val="3E9B4B40"/>
    <w:rsid w:val="3EC85E34"/>
    <w:rsid w:val="3ED0424C"/>
    <w:rsid w:val="3EF36DF0"/>
    <w:rsid w:val="3F053EF6"/>
    <w:rsid w:val="3F093188"/>
    <w:rsid w:val="3F173F6B"/>
    <w:rsid w:val="3F1E1DE8"/>
    <w:rsid w:val="3F253B0C"/>
    <w:rsid w:val="3F2C04C4"/>
    <w:rsid w:val="3F416B99"/>
    <w:rsid w:val="3F4F5AD7"/>
    <w:rsid w:val="3F6B75A6"/>
    <w:rsid w:val="3F8C0A49"/>
    <w:rsid w:val="3F913853"/>
    <w:rsid w:val="3F9660C3"/>
    <w:rsid w:val="3FA827ED"/>
    <w:rsid w:val="3FC36557"/>
    <w:rsid w:val="3FC956FF"/>
    <w:rsid w:val="3FD13F50"/>
    <w:rsid w:val="3FE04625"/>
    <w:rsid w:val="3FE86CE8"/>
    <w:rsid w:val="3FFB0F66"/>
    <w:rsid w:val="40146E6B"/>
    <w:rsid w:val="403052F1"/>
    <w:rsid w:val="404469FD"/>
    <w:rsid w:val="404A2717"/>
    <w:rsid w:val="404E779F"/>
    <w:rsid w:val="4059090D"/>
    <w:rsid w:val="4065170A"/>
    <w:rsid w:val="406E5CAB"/>
    <w:rsid w:val="40713C35"/>
    <w:rsid w:val="408376F8"/>
    <w:rsid w:val="40A25054"/>
    <w:rsid w:val="40A325E0"/>
    <w:rsid w:val="40BD0DA1"/>
    <w:rsid w:val="40EC7D18"/>
    <w:rsid w:val="40ED11A0"/>
    <w:rsid w:val="40FD1BF0"/>
    <w:rsid w:val="410A75B6"/>
    <w:rsid w:val="410B452A"/>
    <w:rsid w:val="413353F1"/>
    <w:rsid w:val="41513BC9"/>
    <w:rsid w:val="41D75714"/>
    <w:rsid w:val="41DD3BC3"/>
    <w:rsid w:val="41EE2F03"/>
    <w:rsid w:val="41F466FD"/>
    <w:rsid w:val="42002BC7"/>
    <w:rsid w:val="42026B03"/>
    <w:rsid w:val="420D197F"/>
    <w:rsid w:val="42187EBE"/>
    <w:rsid w:val="4227435A"/>
    <w:rsid w:val="424B5824"/>
    <w:rsid w:val="426973AD"/>
    <w:rsid w:val="427A67A1"/>
    <w:rsid w:val="427E0B36"/>
    <w:rsid w:val="42A03D98"/>
    <w:rsid w:val="42C30254"/>
    <w:rsid w:val="42C42A08"/>
    <w:rsid w:val="42D064B1"/>
    <w:rsid w:val="42DE48A3"/>
    <w:rsid w:val="42E16058"/>
    <w:rsid w:val="42F17BF5"/>
    <w:rsid w:val="42F87EC9"/>
    <w:rsid w:val="42FA45BF"/>
    <w:rsid w:val="430E7E66"/>
    <w:rsid w:val="4332317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756A66"/>
    <w:rsid w:val="44957F46"/>
    <w:rsid w:val="44994CF5"/>
    <w:rsid w:val="44DC46EB"/>
    <w:rsid w:val="44F03F8F"/>
    <w:rsid w:val="44F14ECF"/>
    <w:rsid w:val="45275172"/>
    <w:rsid w:val="45332511"/>
    <w:rsid w:val="45412C46"/>
    <w:rsid w:val="45514AD5"/>
    <w:rsid w:val="4552412E"/>
    <w:rsid w:val="455908C0"/>
    <w:rsid w:val="45761EDD"/>
    <w:rsid w:val="457A7286"/>
    <w:rsid w:val="457B06AA"/>
    <w:rsid w:val="457C7D39"/>
    <w:rsid w:val="458F5163"/>
    <w:rsid w:val="459C5A47"/>
    <w:rsid w:val="45A82F38"/>
    <w:rsid w:val="45B047D1"/>
    <w:rsid w:val="45BE6191"/>
    <w:rsid w:val="45BE648C"/>
    <w:rsid w:val="45CD2126"/>
    <w:rsid w:val="460C5979"/>
    <w:rsid w:val="46143B66"/>
    <w:rsid w:val="46214325"/>
    <w:rsid w:val="463246EC"/>
    <w:rsid w:val="463A3547"/>
    <w:rsid w:val="46555DC3"/>
    <w:rsid w:val="46617DB2"/>
    <w:rsid w:val="46621065"/>
    <w:rsid w:val="46665198"/>
    <w:rsid w:val="46770F8B"/>
    <w:rsid w:val="467C16FA"/>
    <w:rsid w:val="46894B18"/>
    <w:rsid w:val="469448C6"/>
    <w:rsid w:val="46B80AF8"/>
    <w:rsid w:val="46D37F0B"/>
    <w:rsid w:val="46D71533"/>
    <w:rsid w:val="473069AF"/>
    <w:rsid w:val="474A0EAF"/>
    <w:rsid w:val="474E50BE"/>
    <w:rsid w:val="47696F9C"/>
    <w:rsid w:val="47725A17"/>
    <w:rsid w:val="477D3243"/>
    <w:rsid w:val="479128A9"/>
    <w:rsid w:val="47975EDC"/>
    <w:rsid w:val="47C01792"/>
    <w:rsid w:val="47C57A48"/>
    <w:rsid w:val="4808150F"/>
    <w:rsid w:val="480F51A8"/>
    <w:rsid w:val="48450ECE"/>
    <w:rsid w:val="484759CD"/>
    <w:rsid w:val="48713351"/>
    <w:rsid w:val="48802846"/>
    <w:rsid w:val="48B116EA"/>
    <w:rsid w:val="48B74C7A"/>
    <w:rsid w:val="48BE32BF"/>
    <w:rsid w:val="48C354EC"/>
    <w:rsid w:val="48D429DD"/>
    <w:rsid w:val="48E01C77"/>
    <w:rsid w:val="48E22285"/>
    <w:rsid w:val="48E50D90"/>
    <w:rsid w:val="48FA15CC"/>
    <w:rsid w:val="491B63DF"/>
    <w:rsid w:val="4932285C"/>
    <w:rsid w:val="495217DF"/>
    <w:rsid w:val="498A16CD"/>
    <w:rsid w:val="49A33C27"/>
    <w:rsid w:val="49A750B5"/>
    <w:rsid w:val="49BE07DA"/>
    <w:rsid w:val="49C84AA0"/>
    <w:rsid w:val="49D7694D"/>
    <w:rsid w:val="4A255046"/>
    <w:rsid w:val="4A2E1525"/>
    <w:rsid w:val="4A5A756D"/>
    <w:rsid w:val="4A785772"/>
    <w:rsid w:val="4AA341CC"/>
    <w:rsid w:val="4AC13295"/>
    <w:rsid w:val="4AC31003"/>
    <w:rsid w:val="4AD25F33"/>
    <w:rsid w:val="4AE072CB"/>
    <w:rsid w:val="4AE93159"/>
    <w:rsid w:val="4B174032"/>
    <w:rsid w:val="4B250CF8"/>
    <w:rsid w:val="4B7C4100"/>
    <w:rsid w:val="4B830F9B"/>
    <w:rsid w:val="4B9D4011"/>
    <w:rsid w:val="4BB36BDD"/>
    <w:rsid w:val="4BC32290"/>
    <w:rsid w:val="4BD0339A"/>
    <w:rsid w:val="4BF32495"/>
    <w:rsid w:val="4C2B4DDD"/>
    <w:rsid w:val="4C5D1F92"/>
    <w:rsid w:val="4C603F16"/>
    <w:rsid w:val="4C6D7518"/>
    <w:rsid w:val="4C923A72"/>
    <w:rsid w:val="4CE34E9F"/>
    <w:rsid w:val="4CF52D94"/>
    <w:rsid w:val="4D462159"/>
    <w:rsid w:val="4D566017"/>
    <w:rsid w:val="4D7D3EFB"/>
    <w:rsid w:val="4D8B0123"/>
    <w:rsid w:val="4DAF14C5"/>
    <w:rsid w:val="4DB9067A"/>
    <w:rsid w:val="4DC605B6"/>
    <w:rsid w:val="4DD732D2"/>
    <w:rsid w:val="4DEC0985"/>
    <w:rsid w:val="4E0538A3"/>
    <w:rsid w:val="4E0E6818"/>
    <w:rsid w:val="4E27683A"/>
    <w:rsid w:val="4E4C50A3"/>
    <w:rsid w:val="4E510698"/>
    <w:rsid w:val="4E576363"/>
    <w:rsid w:val="4E742982"/>
    <w:rsid w:val="4EDB58B2"/>
    <w:rsid w:val="4EE925CE"/>
    <w:rsid w:val="4EEF2E30"/>
    <w:rsid w:val="4EFE7F59"/>
    <w:rsid w:val="4F285975"/>
    <w:rsid w:val="4F2A7BF3"/>
    <w:rsid w:val="4F4E1077"/>
    <w:rsid w:val="4F546156"/>
    <w:rsid w:val="4F844A99"/>
    <w:rsid w:val="4FB00163"/>
    <w:rsid w:val="4FB208E7"/>
    <w:rsid w:val="4FE30332"/>
    <w:rsid w:val="4FE70BB4"/>
    <w:rsid w:val="4FE73C01"/>
    <w:rsid w:val="4FE87C31"/>
    <w:rsid w:val="500815B6"/>
    <w:rsid w:val="500B39BC"/>
    <w:rsid w:val="5022123F"/>
    <w:rsid w:val="502B7315"/>
    <w:rsid w:val="503F32CF"/>
    <w:rsid w:val="5041152A"/>
    <w:rsid w:val="507E1B25"/>
    <w:rsid w:val="508E3B94"/>
    <w:rsid w:val="5090223F"/>
    <w:rsid w:val="50924591"/>
    <w:rsid w:val="50AB5EB6"/>
    <w:rsid w:val="50B16618"/>
    <w:rsid w:val="50BB6306"/>
    <w:rsid w:val="50FC4E36"/>
    <w:rsid w:val="5105169B"/>
    <w:rsid w:val="51062881"/>
    <w:rsid w:val="510956BD"/>
    <w:rsid w:val="51230220"/>
    <w:rsid w:val="51471753"/>
    <w:rsid w:val="514E4912"/>
    <w:rsid w:val="515400FF"/>
    <w:rsid w:val="515D735D"/>
    <w:rsid w:val="51781A83"/>
    <w:rsid w:val="51867298"/>
    <w:rsid w:val="51894D69"/>
    <w:rsid w:val="518D21E1"/>
    <w:rsid w:val="51930297"/>
    <w:rsid w:val="51953936"/>
    <w:rsid w:val="51A2793A"/>
    <w:rsid w:val="51D129CA"/>
    <w:rsid w:val="51D93F8A"/>
    <w:rsid w:val="51E5046A"/>
    <w:rsid w:val="52272B85"/>
    <w:rsid w:val="523E09B5"/>
    <w:rsid w:val="52687B2A"/>
    <w:rsid w:val="527901C6"/>
    <w:rsid w:val="52A24532"/>
    <w:rsid w:val="52B3363A"/>
    <w:rsid w:val="52DE691D"/>
    <w:rsid w:val="52E04D27"/>
    <w:rsid w:val="52ED0C96"/>
    <w:rsid w:val="53061721"/>
    <w:rsid w:val="530C0E6B"/>
    <w:rsid w:val="532F77EA"/>
    <w:rsid w:val="533B7F54"/>
    <w:rsid w:val="535009E1"/>
    <w:rsid w:val="53650168"/>
    <w:rsid w:val="538859E4"/>
    <w:rsid w:val="53A20FFA"/>
    <w:rsid w:val="53A233E4"/>
    <w:rsid w:val="53A94C48"/>
    <w:rsid w:val="53AE5EA5"/>
    <w:rsid w:val="53B00B1F"/>
    <w:rsid w:val="53D6247A"/>
    <w:rsid w:val="53DB3477"/>
    <w:rsid w:val="53E77CBF"/>
    <w:rsid w:val="53FE7128"/>
    <w:rsid w:val="54247F22"/>
    <w:rsid w:val="542C29CD"/>
    <w:rsid w:val="542F1551"/>
    <w:rsid w:val="54381756"/>
    <w:rsid w:val="545A1EBF"/>
    <w:rsid w:val="54B06F11"/>
    <w:rsid w:val="54B56DF4"/>
    <w:rsid w:val="54B93943"/>
    <w:rsid w:val="54BE5578"/>
    <w:rsid w:val="54BF52B5"/>
    <w:rsid w:val="54D202CA"/>
    <w:rsid w:val="54DD41DB"/>
    <w:rsid w:val="54ED3D78"/>
    <w:rsid w:val="54F52BA3"/>
    <w:rsid w:val="54F54E04"/>
    <w:rsid w:val="550D5CFC"/>
    <w:rsid w:val="55197997"/>
    <w:rsid w:val="552A6B56"/>
    <w:rsid w:val="5532385A"/>
    <w:rsid w:val="554748F2"/>
    <w:rsid w:val="554D414C"/>
    <w:rsid w:val="554E7279"/>
    <w:rsid w:val="55594FFB"/>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E5820"/>
    <w:rsid w:val="56630C00"/>
    <w:rsid w:val="567739D2"/>
    <w:rsid w:val="5686536D"/>
    <w:rsid w:val="568B1DB1"/>
    <w:rsid w:val="56A55214"/>
    <w:rsid w:val="56A67978"/>
    <w:rsid w:val="56C1700B"/>
    <w:rsid w:val="56D25618"/>
    <w:rsid w:val="56E84A97"/>
    <w:rsid w:val="57011F3E"/>
    <w:rsid w:val="5705646B"/>
    <w:rsid w:val="57060649"/>
    <w:rsid w:val="5732705F"/>
    <w:rsid w:val="57351D6F"/>
    <w:rsid w:val="576476C1"/>
    <w:rsid w:val="577B3337"/>
    <w:rsid w:val="57A33734"/>
    <w:rsid w:val="57AB6ADD"/>
    <w:rsid w:val="57BD72A7"/>
    <w:rsid w:val="57BE5838"/>
    <w:rsid w:val="57FC07D9"/>
    <w:rsid w:val="580F1B21"/>
    <w:rsid w:val="581B7E79"/>
    <w:rsid w:val="58500F22"/>
    <w:rsid w:val="58587379"/>
    <w:rsid w:val="586D57A3"/>
    <w:rsid w:val="587917A0"/>
    <w:rsid w:val="587A4288"/>
    <w:rsid w:val="58AD27D9"/>
    <w:rsid w:val="58B9636C"/>
    <w:rsid w:val="58C37133"/>
    <w:rsid w:val="58C93046"/>
    <w:rsid w:val="58D36BCB"/>
    <w:rsid w:val="58E6349C"/>
    <w:rsid w:val="58EF63EE"/>
    <w:rsid w:val="59075000"/>
    <w:rsid w:val="593559FD"/>
    <w:rsid w:val="594079B2"/>
    <w:rsid w:val="5987482A"/>
    <w:rsid w:val="599C49A8"/>
    <w:rsid w:val="59A36725"/>
    <w:rsid w:val="59B21BF9"/>
    <w:rsid w:val="59BB4EA3"/>
    <w:rsid w:val="59E9525B"/>
    <w:rsid w:val="5A3C0F08"/>
    <w:rsid w:val="5A3E5B83"/>
    <w:rsid w:val="5A5663A3"/>
    <w:rsid w:val="5A571746"/>
    <w:rsid w:val="5A6253E3"/>
    <w:rsid w:val="5A8E6670"/>
    <w:rsid w:val="5A912613"/>
    <w:rsid w:val="5A953D41"/>
    <w:rsid w:val="5ABC50F4"/>
    <w:rsid w:val="5ACC4940"/>
    <w:rsid w:val="5AD86A6D"/>
    <w:rsid w:val="5AEC14F6"/>
    <w:rsid w:val="5AF124A4"/>
    <w:rsid w:val="5B66707B"/>
    <w:rsid w:val="5B673066"/>
    <w:rsid w:val="5B785E83"/>
    <w:rsid w:val="5B7C1CD1"/>
    <w:rsid w:val="5B9251EF"/>
    <w:rsid w:val="5BAB5BC4"/>
    <w:rsid w:val="5C097C4E"/>
    <w:rsid w:val="5C1A3A93"/>
    <w:rsid w:val="5C235386"/>
    <w:rsid w:val="5C3B6CFC"/>
    <w:rsid w:val="5C4C2CF4"/>
    <w:rsid w:val="5C6B1600"/>
    <w:rsid w:val="5C7D70D1"/>
    <w:rsid w:val="5C8542A8"/>
    <w:rsid w:val="5CA6294E"/>
    <w:rsid w:val="5CDB3358"/>
    <w:rsid w:val="5D034EE9"/>
    <w:rsid w:val="5D0366E8"/>
    <w:rsid w:val="5D0A06B6"/>
    <w:rsid w:val="5D1307E8"/>
    <w:rsid w:val="5D212A05"/>
    <w:rsid w:val="5D2F4802"/>
    <w:rsid w:val="5D3444E6"/>
    <w:rsid w:val="5D3F0BDF"/>
    <w:rsid w:val="5D5B7098"/>
    <w:rsid w:val="5D634782"/>
    <w:rsid w:val="5D6E1B86"/>
    <w:rsid w:val="5D8A2CFF"/>
    <w:rsid w:val="5D960EE9"/>
    <w:rsid w:val="5D9A0CFA"/>
    <w:rsid w:val="5DD14397"/>
    <w:rsid w:val="5DD3123F"/>
    <w:rsid w:val="5DD71C7A"/>
    <w:rsid w:val="5DD734EC"/>
    <w:rsid w:val="5DEC05A1"/>
    <w:rsid w:val="5DFD51DB"/>
    <w:rsid w:val="5E1D4A67"/>
    <w:rsid w:val="5E237029"/>
    <w:rsid w:val="5E3A3BD1"/>
    <w:rsid w:val="5E5203B8"/>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F37587"/>
    <w:rsid w:val="5FFE57B7"/>
    <w:rsid w:val="60060CD5"/>
    <w:rsid w:val="60085AA3"/>
    <w:rsid w:val="600E362B"/>
    <w:rsid w:val="60183392"/>
    <w:rsid w:val="601A4CB1"/>
    <w:rsid w:val="603967D7"/>
    <w:rsid w:val="60673C40"/>
    <w:rsid w:val="606A52D4"/>
    <w:rsid w:val="607C3753"/>
    <w:rsid w:val="608D1D4E"/>
    <w:rsid w:val="6092569C"/>
    <w:rsid w:val="60B004BE"/>
    <w:rsid w:val="60C30855"/>
    <w:rsid w:val="60D4742F"/>
    <w:rsid w:val="60D95276"/>
    <w:rsid w:val="60E06DEB"/>
    <w:rsid w:val="60E51841"/>
    <w:rsid w:val="61110088"/>
    <w:rsid w:val="61421EFD"/>
    <w:rsid w:val="615C5041"/>
    <w:rsid w:val="6182260C"/>
    <w:rsid w:val="621542CB"/>
    <w:rsid w:val="624263A2"/>
    <w:rsid w:val="625272C3"/>
    <w:rsid w:val="62715337"/>
    <w:rsid w:val="6290769B"/>
    <w:rsid w:val="62A411F8"/>
    <w:rsid w:val="62BA7A46"/>
    <w:rsid w:val="62C376AC"/>
    <w:rsid w:val="62CE13CB"/>
    <w:rsid w:val="62D2197B"/>
    <w:rsid w:val="62F6011A"/>
    <w:rsid w:val="6327422B"/>
    <w:rsid w:val="633B249F"/>
    <w:rsid w:val="6359778B"/>
    <w:rsid w:val="635B63E3"/>
    <w:rsid w:val="638C3395"/>
    <w:rsid w:val="63CA2E8B"/>
    <w:rsid w:val="63F47D2A"/>
    <w:rsid w:val="63FE2D33"/>
    <w:rsid w:val="64264A79"/>
    <w:rsid w:val="64311867"/>
    <w:rsid w:val="6445632E"/>
    <w:rsid w:val="648939AA"/>
    <w:rsid w:val="649B1AC2"/>
    <w:rsid w:val="64A7467B"/>
    <w:rsid w:val="64C86505"/>
    <w:rsid w:val="64FE700F"/>
    <w:rsid w:val="6506609B"/>
    <w:rsid w:val="65083216"/>
    <w:rsid w:val="65460728"/>
    <w:rsid w:val="65870C45"/>
    <w:rsid w:val="65AA6346"/>
    <w:rsid w:val="65B56C47"/>
    <w:rsid w:val="65B8262E"/>
    <w:rsid w:val="65DC5939"/>
    <w:rsid w:val="65DC7985"/>
    <w:rsid w:val="65F14641"/>
    <w:rsid w:val="65F5655C"/>
    <w:rsid w:val="66052F43"/>
    <w:rsid w:val="6609487E"/>
    <w:rsid w:val="66265846"/>
    <w:rsid w:val="66287C9C"/>
    <w:rsid w:val="664805B8"/>
    <w:rsid w:val="665B55EA"/>
    <w:rsid w:val="66655F85"/>
    <w:rsid w:val="667C7AEC"/>
    <w:rsid w:val="66984358"/>
    <w:rsid w:val="669B7C76"/>
    <w:rsid w:val="66A200F8"/>
    <w:rsid w:val="66A30EC2"/>
    <w:rsid w:val="66AA4BA8"/>
    <w:rsid w:val="66DC317D"/>
    <w:rsid w:val="670C6D27"/>
    <w:rsid w:val="670D67CE"/>
    <w:rsid w:val="67105BAB"/>
    <w:rsid w:val="671B1631"/>
    <w:rsid w:val="67302DC3"/>
    <w:rsid w:val="674318B2"/>
    <w:rsid w:val="674D4B22"/>
    <w:rsid w:val="67570422"/>
    <w:rsid w:val="675D31B4"/>
    <w:rsid w:val="676D2F4B"/>
    <w:rsid w:val="677A266A"/>
    <w:rsid w:val="677C1A81"/>
    <w:rsid w:val="67B163D1"/>
    <w:rsid w:val="67F45538"/>
    <w:rsid w:val="680239EB"/>
    <w:rsid w:val="680722DA"/>
    <w:rsid w:val="682211D1"/>
    <w:rsid w:val="685C6395"/>
    <w:rsid w:val="686318DD"/>
    <w:rsid w:val="68635145"/>
    <w:rsid w:val="687F607E"/>
    <w:rsid w:val="68A34C5C"/>
    <w:rsid w:val="68E24981"/>
    <w:rsid w:val="691C3525"/>
    <w:rsid w:val="69216128"/>
    <w:rsid w:val="69280874"/>
    <w:rsid w:val="695D6B21"/>
    <w:rsid w:val="69611EE7"/>
    <w:rsid w:val="696C708E"/>
    <w:rsid w:val="696F4D5D"/>
    <w:rsid w:val="69850877"/>
    <w:rsid w:val="69F0745A"/>
    <w:rsid w:val="6A1D59EC"/>
    <w:rsid w:val="6A247F72"/>
    <w:rsid w:val="6A3E2393"/>
    <w:rsid w:val="6A435B92"/>
    <w:rsid w:val="6A516AC3"/>
    <w:rsid w:val="6A5303BA"/>
    <w:rsid w:val="6A677080"/>
    <w:rsid w:val="6A711183"/>
    <w:rsid w:val="6A7B4B9C"/>
    <w:rsid w:val="6ACB082B"/>
    <w:rsid w:val="6AD3247E"/>
    <w:rsid w:val="6B2B0EFD"/>
    <w:rsid w:val="6B2C13E4"/>
    <w:rsid w:val="6B5045E2"/>
    <w:rsid w:val="6B736A2E"/>
    <w:rsid w:val="6B884219"/>
    <w:rsid w:val="6B90781F"/>
    <w:rsid w:val="6BA9194F"/>
    <w:rsid w:val="6C240DF3"/>
    <w:rsid w:val="6C45610F"/>
    <w:rsid w:val="6C59472D"/>
    <w:rsid w:val="6C603744"/>
    <w:rsid w:val="6C637CCF"/>
    <w:rsid w:val="6C89456C"/>
    <w:rsid w:val="6CA20D5B"/>
    <w:rsid w:val="6CD63FB3"/>
    <w:rsid w:val="6D056EA6"/>
    <w:rsid w:val="6D227835"/>
    <w:rsid w:val="6D3C6626"/>
    <w:rsid w:val="6D5D0DB5"/>
    <w:rsid w:val="6D7B4AB7"/>
    <w:rsid w:val="6D89784B"/>
    <w:rsid w:val="6D9E0566"/>
    <w:rsid w:val="6DF43BD4"/>
    <w:rsid w:val="6E2143FB"/>
    <w:rsid w:val="6E317378"/>
    <w:rsid w:val="6E4B0158"/>
    <w:rsid w:val="6E4D611F"/>
    <w:rsid w:val="6E567C9E"/>
    <w:rsid w:val="6E636A71"/>
    <w:rsid w:val="6E685B0A"/>
    <w:rsid w:val="6E73404A"/>
    <w:rsid w:val="6E7355AA"/>
    <w:rsid w:val="6E990B16"/>
    <w:rsid w:val="6EB169D3"/>
    <w:rsid w:val="6EB829B1"/>
    <w:rsid w:val="6ECC3A24"/>
    <w:rsid w:val="6ED86D3E"/>
    <w:rsid w:val="6EE9744F"/>
    <w:rsid w:val="6EEC3F7C"/>
    <w:rsid w:val="6EFE1485"/>
    <w:rsid w:val="6F0D382C"/>
    <w:rsid w:val="6F2632E8"/>
    <w:rsid w:val="6F30363A"/>
    <w:rsid w:val="6F3316E5"/>
    <w:rsid w:val="6F3F40F9"/>
    <w:rsid w:val="6F6F14E1"/>
    <w:rsid w:val="6FA629D4"/>
    <w:rsid w:val="6FB77ED4"/>
    <w:rsid w:val="6FBD4D2F"/>
    <w:rsid w:val="6FBF4710"/>
    <w:rsid w:val="6FDB518F"/>
    <w:rsid w:val="6FE529ED"/>
    <w:rsid w:val="6FF733A7"/>
    <w:rsid w:val="70003DD9"/>
    <w:rsid w:val="70072915"/>
    <w:rsid w:val="70172090"/>
    <w:rsid w:val="701D43BA"/>
    <w:rsid w:val="7032079E"/>
    <w:rsid w:val="703C186A"/>
    <w:rsid w:val="70570007"/>
    <w:rsid w:val="70822BAD"/>
    <w:rsid w:val="708746BC"/>
    <w:rsid w:val="708F7F54"/>
    <w:rsid w:val="709E3D85"/>
    <w:rsid w:val="70AC660B"/>
    <w:rsid w:val="70B17138"/>
    <w:rsid w:val="70BB2EF0"/>
    <w:rsid w:val="70BC2801"/>
    <w:rsid w:val="70C6646C"/>
    <w:rsid w:val="71015D6B"/>
    <w:rsid w:val="71151975"/>
    <w:rsid w:val="71336A65"/>
    <w:rsid w:val="71573E01"/>
    <w:rsid w:val="71702748"/>
    <w:rsid w:val="71867894"/>
    <w:rsid w:val="719F7A78"/>
    <w:rsid w:val="71C7540C"/>
    <w:rsid w:val="72021233"/>
    <w:rsid w:val="720B2A1D"/>
    <w:rsid w:val="727C422C"/>
    <w:rsid w:val="72974DBE"/>
    <w:rsid w:val="72A20C20"/>
    <w:rsid w:val="72AC5E95"/>
    <w:rsid w:val="72C13ED7"/>
    <w:rsid w:val="72CF1AC7"/>
    <w:rsid w:val="72FD426E"/>
    <w:rsid w:val="73043CFC"/>
    <w:rsid w:val="732C334F"/>
    <w:rsid w:val="734F4185"/>
    <w:rsid w:val="73520620"/>
    <w:rsid w:val="7363274A"/>
    <w:rsid w:val="738A6895"/>
    <w:rsid w:val="73BC7089"/>
    <w:rsid w:val="73BE7067"/>
    <w:rsid w:val="73E52294"/>
    <w:rsid w:val="73FF2D64"/>
    <w:rsid w:val="74257F79"/>
    <w:rsid w:val="74273820"/>
    <w:rsid w:val="7427471C"/>
    <w:rsid w:val="74355B0B"/>
    <w:rsid w:val="743C7157"/>
    <w:rsid w:val="74416F54"/>
    <w:rsid w:val="744B354F"/>
    <w:rsid w:val="7450294E"/>
    <w:rsid w:val="746B732F"/>
    <w:rsid w:val="746E18CB"/>
    <w:rsid w:val="748D52FA"/>
    <w:rsid w:val="74993216"/>
    <w:rsid w:val="74B808BF"/>
    <w:rsid w:val="75084E8F"/>
    <w:rsid w:val="75202656"/>
    <w:rsid w:val="75752B04"/>
    <w:rsid w:val="758910BB"/>
    <w:rsid w:val="75955DA9"/>
    <w:rsid w:val="75977910"/>
    <w:rsid w:val="759F2A35"/>
    <w:rsid w:val="75B15C41"/>
    <w:rsid w:val="75F20996"/>
    <w:rsid w:val="76123E1D"/>
    <w:rsid w:val="76425118"/>
    <w:rsid w:val="764838B9"/>
    <w:rsid w:val="764B15DA"/>
    <w:rsid w:val="764C09B4"/>
    <w:rsid w:val="766A4A0D"/>
    <w:rsid w:val="7692667A"/>
    <w:rsid w:val="76982273"/>
    <w:rsid w:val="769A7352"/>
    <w:rsid w:val="76A177B8"/>
    <w:rsid w:val="76B64E53"/>
    <w:rsid w:val="76B8001A"/>
    <w:rsid w:val="76BC314A"/>
    <w:rsid w:val="76CF29D3"/>
    <w:rsid w:val="76EC51FD"/>
    <w:rsid w:val="76F410B8"/>
    <w:rsid w:val="771B67DF"/>
    <w:rsid w:val="77451578"/>
    <w:rsid w:val="77692EA3"/>
    <w:rsid w:val="7785098B"/>
    <w:rsid w:val="77870D91"/>
    <w:rsid w:val="778A3229"/>
    <w:rsid w:val="779258CC"/>
    <w:rsid w:val="7794068F"/>
    <w:rsid w:val="779A096B"/>
    <w:rsid w:val="779B52FF"/>
    <w:rsid w:val="77A00E75"/>
    <w:rsid w:val="77A80D17"/>
    <w:rsid w:val="77B841F3"/>
    <w:rsid w:val="77C078B1"/>
    <w:rsid w:val="77E66E3C"/>
    <w:rsid w:val="780326B9"/>
    <w:rsid w:val="7833711D"/>
    <w:rsid w:val="78497C2E"/>
    <w:rsid w:val="7854087B"/>
    <w:rsid w:val="786A4053"/>
    <w:rsid w:val="78782A0D"/>
    <w:rsid w:val="787B5060"/>
    <w:rsid w:val="788720E7"/>
    <w:rsid w:val="78A90B04"/>
    <w:rsid w:val="78C76A01"/>
    <w:rsid w:val="78EC45D8"/>
    <w:rsid w:val="78EC6DF0"/>
    <w:rsid w:val="791843E7"/>
    <w:rsid w:val="79395A92"/>
    <w:rsid w:val="794008FB"/>
    <w:rsid w:val="794708D9"/>
    <w:rsid w:val="794B21A1"/>
    <w:rsid w:val="7964574A"/>
    <w:rsid w:val="79941CF2"/>
    <w:rsid w:val="79973382"/>
    <w:rsid w:val="79D33056"/>
    <w:rsid w:val="79EC0256"/>
    <w:rsid w:val="79F60153"/>
    <w:rsid w:val="79FB6E2C"/>
    <w:rsid w:val="7A4C2D60"/>
    <w:rsid w:val="7A6E4BF5"/>
    <w:rsid w:val="7A851D5D"/>
    <w:rsid w:val="7A8A2267"/>
    <w:rsid w:val="7AB53126"/>
    <w:rsid w:val="7AB76FE8"/>
    <w:rsid w:val="7AD268E2"/>
    <w:rsid w:val="7ADC0B33"/>
    <w:rsid w:val="7AE14C19"/>
    <w:rsid w:val="7AEA174E"/>
    <w:rsid w:val="7B274176"/>
    <w:rsid w:val="7B401C79"/>
    <w:rsid w:val="7B4678D7"/>
    <w:rsid w:val="7B4B2A93"/>
    <w:rsid w:val="7B527515"/>
    <w:rsid w:val="7B890A24"/>
    <w:rsid w:val="7BAA485C"/>
    <w:rsid w:val="7BAD1591"/>
    <w:rsid w:val="7BD3716B"/>
    <w:rsid w:val="7BF55850"/>
    <w:rsid w:val="7C1054B7"/>
    <w:rsid w:val="7C26369C"/>
    <w:rsid w:val="7C2A465C"/>
    <w:rsid w:val="7C305879"/>
    <w:rsid w:val="7C34521A"/>
    <w:rsid w:val="7C4A2BD1"/>
    <w:rsid w:val="7C576C70"/>
    <w:rsid w:val="7C77043F"/>
    <w:rsid w:val="7C9E5A24"/>
    <w:rsid w:val="7CB4006B"/>
    <w:rsid w:val="7CB93ABB"/>
    <w:rsid w:val="7CE656F0"/>
    <w:rsid w:val="7CED34FF"/>
    <w:rsid w:val="7CF26588"/>
    <w:rsid w:val="7CF565D7"/>
    <w:rsid w:val="7CFA3A46"/>
    <w:rsid w:val="7D0F5720"/>
    <w:rsid w:val="7D2E198F"/>
    <w:rsid w:val="7D3B3737"/>
    <w:rsid w:val="7D3D73AF"/>
    <w:rsid w:val="7D5B27C9"/>
    <w:rsid w:val="7D62117D"/>
    <w:rsid w:val="7D834A16"/>
    <w:rsid w:val="7D9D438F"/>
    <w:rsid w:val="7DA514D2"/>
    <w:rsid w:val="7DCD4EB5"/>
    <w:rsid w:val="7E090313"/>
    <w:rsid w:val="7E3E0FEC"/>
    <w:rsid w:val="7E3E1EF2"/>
    <w:rsid w:val="7E5C1ABA"/>
    <w:rsid w:val="7E622778"/>
    <w:rsid w:val="7E756346"/>
    <w:rsid w:val="7E85174A"/>
    <w:rsid w:val="7EAA7C26"/>
    <w:rsid w:val="7EAF1FAA"/>
    <w:rsid w:val="7EB4653A"/>
    <w:rsid w:val="7ECA4601"/>
    <w:rsid w:val="7EE34086"/>
    <w:rsid w:val="7EE55F89"/>
    <w:rsid w:val="7EEB5719"/>
    <w:rsid w:val="7EF215E8"/>
    <w:rsid w:val="7EF525E1"/>
    <w:rsid w:val="7EF74FC9"/>
    <w:rsid w:val="7F0C2035"/>
    <w:rsid w:val="7F0F7992"/>
    <w:rsid w:val="7F1B0865"/>
    <w:rsid w:val="7F271AA3"/>
    <w:rsid w:val="7F6B2248"/>
    <w:rsid w:val="7F7D7A8E"/>
    <w:rsid w:val="7F872588"/>
    <w:rsid w:val="7F8725BA"/>
    <w:rsid w:val="7F8C6A8F"/>
    <w:rsid w:val="7FA85877"/>
    <w:rsid w:val="7FDC52B9"/>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2"/>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1"/>
    <w:qFormat/>
    <w:uiPriority w:val="0"/>
    <w:pPr>
      <w:numPr>
        <w:ilvl w:val="2"/>
      </w:numPr>
      <w:spacing w:before="120"/>
      <w:ind w:left="0"/>
      <w:outlineLvl w:val="2"/>
    </w:pPr>
    <w:rPr>
      <w:sz w:val="24"/>
    </w:rPr>
  </w:style>
  <w:style w:type="paragraph" w:styleId="5">
    <w:name w:val="heading 4"/>
    <w:basedOn w:val="4"/>
    <w:next w:val="1"/>
    <w:link w:val="50"/>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qFormat/>
    <w:uiPriority w:val="0"/>
    <w:pPr>
      <w:overflowPunct w:val="0"/>
      <w:autoSpaceDE w:val="0"/>
      <w:autoSpaceDN w:val="0"/>
      <w:adjustRightInd w:val="0"/>
      <w:spacing w:before="120" w:after="120"/>
      <w:textAlignment w:val="baseline"/>
    </w:pPr>
    <w:rPr>
      <w:b/>
    </w:rPr>
  </w:style>
  <w:style w:type="paragraph" w:styleId="8">
    <w:name w:val="Document Map"/>
    <w:basedOn w:val="1"/>
    <w:link w:val="38"/>
    <w:semiHidden/>
    <w:unhideWhenUsed/>
    <w:qFormat/>
    <w:uiPriority w:val="99"/>
    <w:rPr>
      <w:rFonts w:ascii="宋体"/>
      <w:sz w:val="18"/>
      <w:szCs w:val="18"/>
    </w:rPr>
  </w:style>
  <w:style w:type="paragraph" w:styleId="9">
    <w:name w:val="annotation text"/>
    <w:basedOn w:val="1"/>
    <w:link w:val="39"/>
    <w:unhideWhenUsed/>
    <w:qFormat/>
    <w:uiPriority w:val="0"/>
    <w:pPr>
      <w:spacing w:before="120" w:after="120"/>
      <w:jc w:val="left"/>
    </w:pPr>
  </w:style>
  <w:style w:type="paragraph" w:styleId="10">
    <w:name w:val="toc 3"/>
    <w:basedOn w:val="1"/>
    <w:next w:val="1"/>
    <w:unhideWhenUsed/>
    <w:qFormat/>
    <w:uiPriority w:val="39"/>
    <w:pPr>
      <w:adjustRightInd w:val="0"/>
      <w:ind w:left="1282" w:leftChars="400" w:hanging="442" w:hangingChars="200"/>
    </w:pPr>
    <w:rPr>
      <w:b/>
      <w:i/>
      <w:sz w:val="20"/>
    </w:rPr>
  </w:style>
  <w:style w:type="paragraph" w:styleId="11">
    <w:name w:val="Balloon Text"/>
    <w:basedOn w:val="1"/>
    <w:link w:val="37"/>
    <w:semiHidden/>
    <w:unhideWhenUsed/>
    <w:qFormat/>
    <w:uiPriority w:val="99"/>
    <w:pPr>
      <w:spacing w:line="240" w:lineRule="auto"/>
    </w:pPr>
    <w:rPr>
      <w:sz w:val="18"/>
      <w:szCs w:val="18"/>
    </w:rPr>
  </w:style>
  <w:style w:type="paragraph" w:styleId="12">
    <w:name w:val="footer"/>
    <w:basedOn w:val="1"/>
    <w:link w:val="35"/>
    <w:unhideWhenUsed/>
    <w:qFormat/>
    <w:uiPriority w:val="0"/>
    <w:pPr>
      <w:tabs>
        <w:tab w:val="center" w:pos="4153"/>
        <w:tab w:val="right" w:pos="8306"/>
      </w:tabs>
      <w:snapToGrid w:val="0"/>
      <w:jc w:val="left"/>
    </w:pPr>
    <w:rPr>
      <w:sz w:val="18"/>
      <w:szCs w:val="18"/>
    </w:rPr>
  </w:style>
  <w:style w:type="paragraph" w:styleId="13">
    <w:name w:val="header"/>
    <w:basedOn w:val="1"/>
    <w:link w:val="34"/>
    <w:semiHidden/>
    <w:qFormat/>
    <w:uiPriority w:val="0"/>
    <w:pPr>
      <w:tabs>
        <w:tab w:val="center" w:pos="4680"/>
        <w:tab w:val="right" w:pos="9360"/>
      </w:tabs>
      <w:spacing w:line="240" w:lineRule="auto"/>
    </w:pPr>
  </w:style>
  <w:style w:type="paragraph" w:styleId="14">
    <w:name w:val="toc 1"/>
    <w:basedOn w:val="1"/>
    <w:next w:val="1"/>
    <w:unhideWhenUsed/>
    <w:qFormat/>
    <w:uiPriority w:val="39"/>
    <w:rPr>
      <w:rFonts w:eastAsiaTheme="minorEastAsia"/>
      <w:b/>
      <w:i/>
      <w:sz w:val="20"/>
    </w:rPr>
  </w:style>
  <w:style w:type="paragraph" w:styleId="15">
    <w:name w:val="List"/>
    <w:basedOn w:val="1"/>
    <w:qFormat/>
    <w:uiPriority w:val="0"/>
    <w:pPr>
      <w:ind w:left="568" w:hanging="284"/>
    </w:pPr>
  </w:style>
  <w:style w:type="paragraph" w:styleId="16">
    <w:name w:val="table of figures"/>
    <w:basedOn w:val="1"/>
    <w:next w:val="1"/>
    <w:semiHidden/>
    <w:unhideWhenUsed/>
    <w:qFormat/>
    <w:uiPriority w:val="99"/>
    <w:pPr>
      <w:ind w:left="200" w:leftChars="200" w:hanging="200" w:hangingChars="200"/>
    </w:pPr>
  </w:style>
  <w:style w:type="paragraph" w:styleId="17">
    <w:name w:val="toc 2"/>
    <w:basedOn w:val="1"/>
    <w:next w:val="1"/>
    <w:unhideWhenUsed/>
    <w:qFormat/>
    <w:uiPriority w:val="39"/>
    <w:pPr>
      <w:ind w:left="420" w:leftChars="200"/>
    </w:pPr>
    <w:rPr>
      <w:b/>
      <w:i/>
      <w:sz w:val="20"/>
    </w:rPr>
  </w:style>
  <w:style w:type="paragraph" w:styleId="18">
    <w:name w:val="Normal (Web)"/>
    <w:basedOn w:val="1"/>
    <w:semiHidden/>
    <w:unhideWhenUsed/>
    <w:qFormat/>
    <w:uiPriority w:val="99"/>
    <w:pPr>
      <w:spacing w:beforeAutospacing="1" w:afterAutospacing="1"/>
      <w:jc w:val="left"/>
    </w:pPr>
    <w:rPr>
      <w:kern w:val="0"/>
      <w:sz w:val="24"/>
    </w:rPr>
  </w:style>
  <w:style w:type="paragraph" w:styleId="19">
    <w:name w:val="annotation subject"/>
    <w:basedOn w:val="9"/>
    <w:next w:val="9"/>
    <w:link w:val="40"/>
    <w:semiHidden/>
    <w:unhideWhenUsed/>
    <w:qFormat/>
    <w:uiPriority w:val="99"/>
    <w:rPr>
      <w:b/>
      <w:bCs/>
    </w:rPr>
  </w:style>
  <w:style w:type="table" w:styleId="21">
    <w:name w:val="Table Grid"/>
    <w:basedOn w:val="20"/>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qFormat/>
    <w:uiPriority w:val="22"/>
    <w:rPr>
      <w:b/>
      <w:bCs/>
    </w:rPr>
  </w:style>
  <w:style w:type="character" w:styleId="24">
    <w:name w:val="Emphasis"/>
    <w:basedOn w:val="22"/>
    <w:qFormat/>
    <w:uiPriority w:val="20"/>
    <w:rPr>
      <w:i/>
    </w:rPr>
  </w:style>
  <w:style w:type="character" w:styleId="25">
    <w:name w:val="Hyperlink"/>
    <w:qFormat/>
    <w:uiPriority w:val="99"/>
    <w:rPr>
      <w:color w:val="0000FF"/>
      <w:u w:val="single"/>
    </w:rPr>
  </w:style>
  <w:style w:type="character" w:styleId="26">
    <w:name w:val="annotation reference"/>
    <w:basedOn w:val="22"/>
    <w:unhideWhenUsed/>
    <w:qFormat/>
    <w:uiPriority w:val="0"/>
    <w:rPr>
      <w:sz w:val="16"/>
      <w:szCs w:val="16"/>
    </w:rPr>
  </w:style>
  <w:style w:type="paragraph" w:customStyle="1" w:styleId="27">
    <w:name w:val="YJ-Proposal"/>
    <w:basedOn w:val="1"/>
    <w:qFormat/>
    <w:uiPriority w:val="0"/>
    <w:pPr>
      <w:numPr>
        <w:ilvl w:val="0"/>
        <w:numId w:val="2"/>
      </w:numPr>
    </w:pPr>
    <w:rPr>
      <w:rFonts w:eastAsiaTheme="minorEastAsia"/>
      <w:b/>
      <w:bCs/>
      <w:i/>
      <w:iCs/>
      <w:sz w:val="20"/>
      <w:lang w:val="en-GB" w:eastAsia="en-US"/>
    </w:rPr>
  </w:style>
  <w:style w:type="paragraph" w:customStyle="1" w:styleId="28">
    <w:name w:val="YJ-Observation"/>
    <w:basedOn w:val="27"/>
    <w:qFormat/>
    <w:uiPriority w:val="0"/>
    <w:pPr>
      <w:numPr>
        <w:ilvl w:val="0"/>
        <w:numId w:val="3"/>
      </w:numPr>
      <w:tabs>
        <w:tab w:val="left" w:pos="420"/>
      </w:tabs>
    </w:pPr>
  </w:style>
  <w:style w:type="paragraph" w:customStyle="1" w:styleId="29">
    <w:name w:val="References"/>
    <w:basedOn w:val="1"/>
    <w:qFormat/>
    <w:uiPriority w:val="0"/>
    <w:pPr>
      <w:numPr>
        <w:ilvl w:val="0"/>
        <w:numId w:val="4"/>
      </w:numPr>
      <w:spacing w:after="60"/>
    </w:pPr>
    <w:rPr>
      <w:szCs w:val="16"/>
    </w:rPr>
  </w:style>
  <w:style w:type="paragraph" w:styleId="30">
    <w:name w:val="List Paragraph"/>
    <w:basedOn w:val="1"/>
    <w:link w:val="65"/>
    <w:qFormat/>
    <w:uiPriority w:val="34"/>
    <w:pPr>
      <w:spacing w:beforeLines="0" w:line="240" w:lineRule="auto"/>
      <w:ind w:left="720"/>
      <w:contextualSpacing/>
    </w:pPr>
    <w:rPr>
      <w:rFonts w:eastAsia="Times New Roman"/>
      <w:sz w:val="24"/>
      <w:szCs w:val="24"/>
    </w:rPr>
  </w:style>
  <w:style w:type="paragraph" w:customStyle="1" w:styleId="31">
    <w:name w:val="sub-proposal"/>
    <w:basedOn w:val="27"/>
    <w:next w:val="1"/>
    <w:qFormat/>
    <w:uiPriority w:val="0"/>
    <w:pPr>
      <w:numPr>
        <w:numId w:val="5"/>
      </w:numPr>
      <w:tabs>
        <w:tab w:val="left" w:pos="807"/>
      </w:tabs>
    </w:pPr>
  </w:style>
  <w:style w:type="paragraph" w:customStyle="1" w:styleId="32">
    <w:name w:val="样式1"/>
    <w:basedOn w:val="1"/>
    <w:qFormat/>
    <w:uiPriority w:val="0"/>
  </w:style>
  <w:style w:type="paragraph" w:customStyle="1" w:styleId="33">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4">
    <w:name w:val="页眉 Char"/>
    <w:basedOn w:val="22"/>
    <w:link w:val="13"/>
    <w:semiHidden/>
    <w:qFormat/>
    <w:uiPriority w:val="0"/>
    <w:rPr>
      <w:rFonts w:eastAsia="宋体"/>
      <w:kern w:val="2"/>
      <w:sz w:val="21"/>
    </w:rPr>
  </w:style>
  <w:style w:type="character" w:customStyle="1" w:styleId="35">
    <w:name w:val="页脚 Char"/>
    <w:basedOn w:val="22"/>
    <w:link w:val="12"/>
    <w:qFormat/>
    <w:uiPriority w:val="99"/>
    <w:rPr>
      <w:rFonts w:eastAsia="宋体"/>
      <w:kern w:val="2"/>
      <w:sz w:val="18"/>
      <w:szCs w:val="18"/>
    </w:rPr>
  </w:style>
  <w:style w:type="paragraph" w:customStyle="1" w:styleId="36">
    <w:name w:val="YJ--正文"/>
    <w:basedOn w:val="1"/>
    <w:qFormat/>
    <w:uiPriority w:val="0"/>
    <w:pPr>
      <w:spacing w:before="50" w:after="50" w:line="240" w:lineRule="auto"/>
    </w:pPr>
    <w:rPr>
      <w:rFonts w:eastAsia="Times New Roman" w:cs="宋体"/>
      <w:sz w:val="20"/>
    </w:rPr>
  </w:style>
  <w:style w:type="character" w:customStyle="1" w:styleId="37">
    <w:name w:val="批注框文本 Char"/>
    <w:basedOn w:val="22"/>
    <w:link w:val="11"/>
    <w:semiHidden/>
    <w:qFormat/>
    <w:uiPriority w:val="99"/>
    <w:rPr>
      <w:kern w:val="2"/>
      <w:sz w:val="18"/>
      <w:szCs w:val="18"/>
    </w:rPr>
  </w:style>
  <w:style w:type="character" w:customStyle="1" w:styleId="38">
    <w:name w:val="文档结构图 Char"/>
    <w:basedOn w:val="22"/>
    <w:link w:val="8"/>
    <w:semiHidden/>
    <w:qFormat/>
    <w:uiPriority w:val="99"/>
    <w:rPr>
      <w:rFonts w:ascii="宋体"/>
      <w:kern w:val="2"/>
      <w:sz w:val="18"/>
      <w:szCs w:val="18"/>
    </w:rPr>
  </w:style>
  <w:style w:type="character" w:customStyle="1" w:styleId="39">
    <w:name w:val="批注文字 Char"/>
    <w:basedOn w:val="22"/>
    <w:link w:val="9"/>
    <w:qFormat/>
    <w:uiPriority w:val="0"/>
    <w:rPr>
      <w:rFonts w:eastAsia="宋体"/>
      <w:kern w:val="2"/>
      <w:sz w:val="21"/>
    </w:rPr>
  </w:style>
  <w:style w:type="character" w:customStyle="1" w:styleId="40">
    <w:name w:val="批注主题 Char"/>
    <w:basedOn w:val="39"/>
    <w:link w:val="19"/>
    <w:qFormat/>
    <w:uiPriority w:val="0"/>
    <w:rPr>
      <w:rFonts w:eastAsia="宋体"/>
      <w:kern w:val="2"/>
      <w:sz w:val="21"/>
    </w:rPr>
  </w:style>
  <w:style w:type="paragraph" w:customStyle="1" w:styleId="41">
    <w:name w:val="subullet"/>
    <w:basedOn w:val="1"/>
    <w:qFormat/>
    <w:uiPriority w:val="0"/>
    <w:pPr>
      <w:numPr>
        <w:ilvl w:val="1"/>
        <w:numId w:val="2"/>
      </w:numPr>
      <w:spacing w:before="50" w:after="50"/>
    </w:pPr>
    <w:rPr>
      <w:rFonts w:hint="eastAsia" w:eastAsiaTheme="minorEastAsia"/>
      <w:b/>
      <w:bCs/>
      <w:i/>
      <w:iCs/>
      <w:sz w:val="20"/>
    </w:rPr>
  </w:style>
  <w:style w:type="paragraph" w:customStyle="1" w:styleId="42">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3">
    <w:name w:val="3rd level proposal"/>
    <w:basedOn w:val="31"/>
    <w:next w:val="1"/>
    <w:qFormat/>
    <w:uiPriority w:val="0"/>
    <w:pPr>
      <w:numPr>
        <w:ilvl w:val="0"/>
        <w:numId w:val="6"/>
      </w:numPr>
      <w:ind w:left="1282" w:leftChars="400" w:hanging="442" w:hangingChars="200"/>
      <w:jc w:val="left"/>
    </w:pPr>
  </w:style>
  <w:style w:type="paragraph" w:customStyle="1" w:styleId="44">
    <w:name w:val="B1"/>
    <w:basedOn w:val="15"/>
    <w:link w:val="58"/>
    <w:qFormat/>
    <w:uiPriority w:val="0"/>
  </w:style>
  <w:style w:type="paragraph" w:customStyle="1" w:styleId="45">
    <w:name w:val="B3"/>
    <w:basedOn w:val="1"/>
    <w:qFormat/>
    <w:uiPriority w:val="0"/>
    <w:pPr>
      <w:ind w:left="1135" w:hanging="284"/>
    </w:pPr>
  </w:style>
  <w:style w:type="character" w:styleId="46">
    <w:name w:val="Placeholder Text"/>
    <w:basedOn w:val="22"/>
    <w:semiHidden/>
    <w:qFormat/>
    <w:uiPriority w:val="99"/>
    <w:rPr>
      <w:color w:val="808080"/>
    </w:rPr>
  </w:style>
  <w:style w:type="paragraph" w:customStyle="1" w:styleId="47">
    <w:name w:val="EQ"/>
    <w:basedOn w:val="1"/>
    <w:next w:val="1"/>
    <w:qFormat/>
    <w:uiPriority w:val="0"/>
    <w:pPr>
      <w:keepLines/>
      <w:tabs>
        <w:tab w:val="center" w:pos="4536"/>
        <w:tab w:val="right" w:pos="9072"/>
      </w:tabs>
    </w:pPr>
  </w:style>
  <w:style w:type="paragraph" w:customStyle="1" w:styleId="48">
    <w:name w:val="B2"/>
    <w:basedOn w:val="1"/>
    <w:qFormat/>
    <w:uiPriority w:val="0"/>
    <w:pPr>
      <w:ind w:left="851" w:hanging="284"/>
    </w:pPr>
    <w:rPr>
      <w:lang w:val="zh-CN"/>
    </w:rPr>
  </w:style>
  <w:style w:type="paragraph" w:customStyle="1" w:styleId="49">
    <w:name w:val="B4"/>
    <w:basedOn w:val="1"/>
    <w:qFormat/>
    <w:uiPriority w:val="0"/>
    <w:pPr>
      <w:ind w:left="1418" w:hanging="284"/>
    </w:pPr>
  </w:style>
  <w:style w:type="character" w:customStyle="1" w:styleId="50">
    <w:name w:val="标题 4 Char"/>
    <w:basedOn w:val="22"/>
    <w:link w:val="5"/>
    <w:qFormat/>
    <w:uiPriority w:val="0"/>
    <w:rPr>
      <w:rFonts w:ascii="Arial" w:hAnsi="Arial" w:eastAsia="MS Mincho"/>
      <w:kern w:val="2"/>
      <w:sz w:val="24"/>
    </w:rPr>
  </w:style>
  <w:style w:type="character" w:customStyle="1" w:styleId="51">
    <w:name w:val="标题 3 Char"/>
    <w:basedOn w:val="22"/>
    <w:link w:val="4"/>
    <w:qFormat/>
    <w:uiPriority w:val="0"/>
    <w:rPr>
      <w:rFonts w:ascii="Arial" w:hAnsi="Arial" w:eastAsia="MS Mincho"/>
      <w:kern w:val="2"/>
      <w:sz w:val="24"/>
    </w:rPr>
  </w:style>
  <w:style w:type="character" w:customStyle="1" w:styleId="52">
    <w:name w:val="标题 2 Char"/>
    <w:basedOn w:val="22"/>
    <w:link w:val="3"/>
    <w:qFormat/>
    <w:uiPriority w:val="0"/>
    <w:rPr>
      <w:rFonts w:ascii="Arial" w:hAnsi="Arial" w:eastAsia="MS Mincho"/>
      <w:kern w:val="2"/>
      <w:sz w:val="28"/>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TAC"/>
    <w:basedOn w:val="55"/>
    <w:link w:val="63"/>
    <w:qFormat/>
    <w:uiPriority w:val="0"/>
    <w:pPr>
      <w:jc w:val="center"/>
    </w:pPr>
  </w:style>
  <w:style w:type="paragraph" w:customStyle="1" w:styleId="55">
    <w:name w:val="TAL"/>
    <w:basedOn w:val="1"/>
    <w:link w:val="64"/>
    <w:qFormat/>
    <w:uiPriority w:val="0"/>
    <w:pPr>
      <w:keepNext/>
      <w:keepLines/>
    </w:pPr>
    <w:rPr>
      <w:rFonts w:ascii="Arial" w:hAnsi="Arial"/>
      <w:sz w:val="18"/>
    </w:rPr>
  </w:style>
  <w:style w:type="paragraph" w:customStyle="1" w:styleId="56">
    <w:name w:val="B5"/>
    <w:basedOn w:val="1"/>
    <w:qFormat/>
    <w:uiPriority w:val="0"/>
    <w:pPr>
      <w:ind w:left="1702" w:hanging="284"/>
    </w:pPr>
  </w:style>
  <w:style w:type="character" w:customStyle="1" w:styleId="57">
    <w:name w:val="首标题"/>
    <w:qFormat/>
    <w:uiPriority w:val="0"/>
    <w:rPr>
      <w:rFonts w:ascii="Arial" w:hAnsi="Arial" w:eastAsia="宋体"/>
      <w:sz w:val="24"/>
    </w:rPr>
  </w:style>
  <w:style w:type="character" w:customStyle="1" w:styleId="58">
    <w:name w:val="B1 Char1"/>
    <w:link w:val="44"/>
    <w:qFormat/>
    <w:uiPriority w:val="0"/>
    <w:rPr>
      <w:kern w:val="2"/>
      <w:sz w:val="21"/>
    </w:rPr>
  </w:style>
  <w:style w:type="character" w:customStyle="1" w:styleId="59">
    <w:name w:val="NO Char"/>
    <w:link w:val="60"/>
    <w:qFormat/>
    <w:uiPriority w:val="0"/>
    <w:rPr>
      <w:lang w:val="en-GB" w:eastAsia="en-US"/>
    </w:rPr>
  </w:style>
  <w:style w:type="paragraph" w:customStyle="1" w:styleId="60">
    <w:name w:val="NO"/>
    <w:basedOn w:val="1"/>
    <w:link w:val="59"/>
    <w:qFormat/>
    <w:uiPriority w:val="0"/>
    <w:pPr>
      <w:keepLines/>
      <w:spacing w:beforeLines="0" w:afterLines="0" w:line="240" w:lineRule="auto"/>
      <w:ind w:left="1135" w:hanging="851"/>
      <w:jc w:val="left"/>
    </w:pPr>
    <w:rPr>
      <w:kern w:val="0"/>
      <w:sz w:val="20"/>
      <w:lang w:val="en-GB" w:eastAsia="en-US"/>
    </w:rPr>
  </w:style>
  <w:style w:type="character" w:customStyle="1" w:styleId="61">
    <w:name w:val="TAH Car"/>
    <w:link w:val="62"/>
    <w:qFormat/>
    <w:locked/>
    <w:uiPriority w:val="0"/>
    <w:rPr>
      <w:rFonts w:ascii="Arial" w:hAnsi="Arial"/>
      <w:b/>
      <w:sz w:val="18"/>
      <w:lang w:val="en-GB" w:eastAsia="en-US"/>
    </w:rPr>
  </w:style>
  <w:style w:type="paragraph" w:customStyle="1" w:styleId="62">
    <w:name w:val="TAH"/>
    <w:basedOn w:val="54"/>
    <w:link w:val="61"/>
    <w:qFormat/>
    <w:uiPriority w:val="0"/>
    <w:pPr>
      <w:spacing w:beforeLines="0" w:afterLines="0" w:line="240" w:lineRule="auto"/>
    </w:pPr>
    <w:rPr>
      <w:b/>
      <w:kern w:val="0"/>
      <w:lang w:val="en-GB" w:eastAsia="en-US"/>
    </w:rPr>
  </w:style>
  <w:style w:type="character" w:customStyle="1" w:styleId="63">
    <w:name w:val="TAC Char"/>
    <w:link w:val="54"/>
    <w:qFormat/>
    <w:locked/>
    <w:uiPriority w:val="0"/>
    <w:rPr>
      <w:rFonts w:ascii="Arial" w:hAnsi="Arial"/>
      <w:kern w:val="2"/>
      <w:sz w:val="18"/>
    </w:rPr>
  </w:style>
  <w:style w:type="character" w:customStyle="1" w:styleId="64">
    <w:name w:val="TAL Car"/>
    <w:link w:val="55"/>
    <w:qFormat/>
    <w:uiPriority w:val="0"/>
    <w:rPr>
      <w:rFonts w:ascii="Arial" w:hAnsi="Arial"/>
      <w:kern w:val="2"/>
      <w:sz w:val="18"/>
    </w:rPr>
  </w:style>
  <w:style w:type="character" w:customStyle="1" w:styleId="65">
    <w:name w:val="列出段落 Char"/>
    <w:link w:val="30"/>
    <w:qFormat/>
    <w:locked/>
    <w:uiPriority w:val="34"/>
    <w:rPr>
      <w:rFonts w:eastAsia="Times New Roman"/>
      <w:kern w:val="2"/>
      <w:sz w:val="24"/>
      <w:szCs w:val="24"/>
    </w:rPr>
  </w:style>
  <w:style w:type="paragraph" w:customStyle="1" w:styleId="66">
    <w:name w:val="Revision"/>
    <w:hidden/>
    <w:semiHidden/>
    <w:qFormat/>
    <w:uiPriority w:val="99"/>
    <w:rPr>
      <w:rFonts w:ascii="Times New Roman" w:hAnsi="Times New Roman" w:eastAsia="宋体" w:cs="Times New Roman"/>
      <w:kern w:val="2"/>
      <w:sz w:val="21"/>
      <w:lang w:val="en-US" w:eastAsia="zh-CN" w:bidi="ar-SA"/>
    </w:rPr>
  </w:style>
  <w:style w:type="paragraph" w:customStyle="1" w:styleId="67">
    <w:name w:val="TAN"/>
    <w:basedOn w:val="55"/>
    <w:qFormat/>
    <w:uiPriority w:val="0"/>
    <w:pPr>
      <w:ind w:left="851" w:hanging="851"/>
    </w:pPr>
  </w:style>
  <w:style w:type="character" w:customStyle="1" w:styleId="68">
    <w:name w:val="font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wmf"/><Relationship Id="rId14" Type="http://schemas.openxmlformats.org/officeDocument/2006/relationships/oleObject" Target="embeddings/oleObject2.bin"/><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2022-04-25T12:59:16Z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